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23" w:rsidRPr="00700F12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bookmarkStart w:id="0" w:name="_GoBack"/>
      <w:bookmarkEnd w:id="0"/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CB291C">
        <w:rPr>
          <w:b/>
          <w:bCs/>
          <w:i w:val="0"/>
          <w:color w:val="auto"/>
          <w:sz w:val="28"/>
          <w:szCs w:val="28"/>
        </w:rPr>
        <w:t>SKUEV0023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CB291C">
        <w:rPr>
          <w:b/>
          <w:bCs/>
          <w:i w:val="0"/>
          <w:color w:val="auto"/>
          <w:sz w:val="28"/>
          <w:szCs w:val="28"/>
        </w:rPr>
        <w:t>Tomov</w:t>
      </w:r>
      <w:proofErr w:type="spellEnd"/>
      <w:r w:rsidR="00CB291C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CB291C">
        <w:rPr>
          <w:b/>
          <w:bCs/>
          <w:i w:val="0"/>
          <w:color w:val="auto"/>
          <w:sz w:val="28"/>
          <w:szCs w:val="28"/>
        </w:rPr>
        <w:t>štál</w:t>
      </w:r>
      <w:proofErr w:type="spellEnd"/>
    </w:p>
    <w:p w:rsidR="00E43A23" w:rsidRDefault="00E43A23" w:rsidP="00E43A23">
      <w:pPr>
        <w:pStyle w:val="Zkladntext"/>
        <w:widowControl w:val="0"/>
        <w:spacing w:after="120"/>
        <w:jc w:val="both"/>
        <w:rPr>
          <w:b w:val="0"/>
        </w:rPr>
      </w:pPr>
    </w:p>
    <w:p w:rsidR="00625435" w:rsidRPr="00775056" w:rsidRDefault="00CB291C" w:rsidP="0062543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lang w:val="sk-SK"/>
        </w:rPr>
        <w:t xml:space="preserve">Zachovanie </w:t>
      </w:r>
      <w:r w:rsidR="00625435" w:rsidRPr="00775056">
        <w:rPr>
          <w:b w:val="0"/>
          <w:color w:val="000000"/>
        </w:rPr>
        <w:t xml:space="preserve">stavu </w:t>
      </w:r>
      <w:r w:rsidR="00625435">
        <w:rPr>
          <w:color w:val="000000"/>
        </w:rPr>
        <w:t>biotopu Ls1.3</w:t>
      </w:r>
      <w:r w:rsidR="00625435" w:rsidRPr="00775056">
        <w:rPr>
          <w:color w:val="000000"/>
        </w:rPr>
        <w:t xml:space="preserve"> </w:t>
      </w:r>
      <w:r w:rsidR="00625435" w:rsidRPr="00775056">
        <w:rPr>
          <w:bCs w:val="0"/>
          <w:color w:val="000000"/>
          <w:shd w:val="clear" w:color="auto" w:fill="FFFFFF"/>
        </w:rPr>
        <w:t>(</w:t>
      </w:r>
      <w:r w:rsidR="00625435" w:rsidRPr="00775056">
        <w:rPr>
          <w:color w:val="000000"/>
          <w:lang w:eastAsia="sk-SK"/>
        </w:rPr>
        <w:t>91E0*</w:t>
      </w:r>
      <w:r w:rsidR="00625435" w:rsidRPr="00775056">
        <w:rPr>
          <w:bCs w:val="0"/>
          <w:color w:val="000000"/>
          <w:shd w:val="clear" w:color="auto" w:fill="FFFFFF"/>
        </w:rPr>
        <w:t xml:space="preserve">) </w:t>
      </w:r>
      <w:r w:rsidR="00625435">
        <w:rPr>
          <w:bCs w:val="0"/>
          <w:color w:val="000000"/>
          <w:shd w:val="clear" w:color="auto" w:fill="FFFFFF"/>
        </w:rPr>
        <w:t xml:space="preserve">Jaseňovo-jelšové podhorské </w:t>
      </w:r>
      <w:r w:rsidR="00625435" w:rsidRPr="00775056">
        <w:rPr>
          <w:bCs w:val="0"/>
          <w:color w:val="000000"/>
          <w:shd w:val="clear" w:color="auto" w:fill="FFFFFF"/>
        </w:rPr>
        <w:t>lužné lesy</w:t>
      </w:r>
      <w:r w:rsidR="00625435" w:rsidRPr="00775056">
        <w:rPr>
          <w:b w:val="0"/>
          <w:color w:val="000000"/>
        </w:rPr>
        <w:t xml:space="preserve"> za splnenia nasledovných atribútov</w:t>
      </w:r>
      <w:r w:rsidR="0062543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276"/>
        <w:gridCol w:w="4986"/>
      </w:tblGrid>
      <w:tr w:rsidR="00625435" w:rsidRPr="0000010E" w:rsidTr="00625435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25435" w:rsidRPr="0000010E" w:rsidTr="00625435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2B6FC7" w:rsidP="006254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1,38</w:t>
            </w:r>
            <w:r w:rsidR="00625435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25435" w:rsidRPr="0000010E" w:rsidTr="00625435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AE6C2D" w:rsidRDefault="00625435" w:rsidP="00625435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625435" w:rsidRPr="00AE6C2D" w:rsidRDefault="00625435" w:rsidP="006254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E6C2D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B6FC7">
              <w:rPr>
                <w:b/>
                <w:i/>
                <w:sz w:val="18"/>
                <w:szCs w:val="18"/>
              </w:rPr>
              <w:t>Alnus</w:t>
            </w:r>
            <w:proofErr w:type="spellEnd"/>
            <w:r w:rsidRPr="002B6FC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B6FC7">
              <w:rPr>
                <w:b/>
                <w:i/>
                <w:sz w:val="18"/>
                <w:szCs w:val="18"/>
              </w:rPr>
              <w:t>glutinosa</w:t>
            </w:r>
            <w:proofErr w:type="spellEnd"/>
            <w:r w:rsidRPr="002B6FC7">
              <w:rPr>
                <w:b/>
                <w:i/>
                <w:sz w:val="18"/>
                <w:szCs w:val="18"/>
              </w:rPr>
              <w:t xml:space="preserve">, A. </w:t>
            </w:r>
            <w:proofErr w:type="spellStart"/>
            <w:r w:rsidRPr="002B6FC7">
              <w:rPr>
                <w:b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i/>
                <w:sz w:val="18"/>
                <w:szCs w:val="18"/>
              </w:rPr>
              <w:t>,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i/>
                <w:sz w:val="18"/>
                <w:szCs w:val="18"/>
              </w:rPr>
              <w:t>, S.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cordata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625435" w:rsidRPr="0000010E" w:rsidTr="00625435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625435" w:rsidRPr="00AE6C2D" w:rsidRDefault="00625435" w:rsidP="00625435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Heracleum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mantegazzianum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</w:t>
            </w:r>
            <w:r w:rsidR="008C0991">
              <w:rPr>
                <w:color w:val="000000"/>
                <w:sz w:val="18"/>
                <w:szCs w:val="18"/>
              </w:rPr>
              <w:t>.</w:t>
            </w:r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625435" w:rsidRPr="00775056" w:rsidRDefault="00625435" w:rsidP="002B6FC7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</w:t>
            </w:r>
            <w:r w:rsidRPr="002B6FC7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Pr="00775056">
              <w:rPr>
                <w:color w:val="000000"/>
                <w:sz w:val="18"/>
                <w:szCs w:val="18"/>
              </w:rPr>
              <w:t xml:space="preserve"> najmenej 30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najmenej </w:t>
            </w:r>
            <w:r w:rsidR="004235A1">
              <w:rPr>
                <w:color w:val="000000"/>
                <w:sz w:val="18"/>
                <w:szCs w:val="18"/>
              </w:rPr>
              <w:t>10</w:t>
            </w:r>
          </w:p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2B6FC7" w:rsidRDefault="00625435" w:rsidP="00625435">
            <w:pPr>
              <w:rPr>
                <w:color w:val="000000"/>
                <w:sz w:val="18"/>
                <w:szCs w:val="18"/>
              </w:rPr>
            </w:pPr>
            <w:r w:rsidRPr="002B6FC7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2B6FC7" w:rsidRDefault="00625435" w:rsidP="00625435">
            <w:pPr>
              <w:rPr>
                <w:color w:val="000000"/>
                <w:sz w:val="18"/>
                <w:szCs w:val="18"/>
              </w:rPr>
            </w:pPr>
            <w:r w:rsidRPr="002B6FC7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2B6FC7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2B6FC7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2B6FC7" w:rsidRDefault="00625435" w:rsidP="00625435">
            <w:pPr>
              <w:rPr>
                <w:color w:val="000000"/>
                <w:sz w:val="18"/>
                <w:szCs w:val="18"/>
              </w:rPr>
            </w:pPr>
            <w:r w:rsidRPr="002B6FC7">
              <w:rPr>
                <w:rFonts w:eastAsia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2B6FC7">
              <w:rPr>
                <w:rFonts w:eastAsia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2B6FC7">
              <w:rPr>
                <w:rFonts w:eastAsia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59408B" w:rsidRDefault="0059408B" w:rsidP="00CB291C">
      <w:pPr>
        <w:pBdr>
          <w:top w:val="nil"/>
          <w:left w:val="nil"/>
          <w:bottom w:val="nil"/>
          <w:right w:val="nil"/>
          <w:between w:val="nil"/>
        </w:pBdr>
      </w:pPr>
    </w:p>
    <w:sectPr w:rsidR="0059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C1B63"/>
    <w:rsid w:val="00210A30"/>
    <w:rsid w:val="002B6FC7"/>
    <w:rsid w:val="002D5234"/>
    <w:rsid w:val="00301394"/>
    <w:rsid w:val="0034343B"/>
    <w:rsid w:val="00343535"/>
    <w:rsid w:val="00350199"/>
    <w:rsid w:val="0036159F"/>
    <w:rsid w:val="004235A1"/>
    <w:rsid w:val="004F7434"/>
    <w:rsid w:val="00577A3C"/>
    <w:rsid w:val="0059408B"/>
    <w:rsid w:val="0060686A"/>
    <w:rsid w:val="00625435"/>
    <w:rsid w:val="0068078E"/>
    <w:rsid w:val="006C1712"/>
    <w:rsid w:val="00700F12"/>
    <w:rsid w:val="007162C0"/>
    <w:rsid w:val="00723DDF"/>
    <w:rsid w:val="00730E44"/>
    <w:rsid w:val="007552F7"/>
    <w:rsid w:val="007B2A99"/>
    <w:rsid w:val="007E17F5"/>
    <w:rsid w:val="008334A2"/>
    <w:rsid w:val="008C0991"/>
    <w:rsid w:val="008C33F7"/>
    <w:rsid w:val="009248FD"/>
    <w:rsid w:val="00A025D2"/>
    <w:rsid w:val="00A6331E"/>
    <w:rsid w:val="00A64F08"/>
    <w:rsid w:val="00B07C22"/>
    <w:rsid w:val="00B81822"/>
    <w:rsid w:val="00CB291C"/>
    <w:rsid w:val="00CF2E50"/>
    <w:rsid w:val="00D44504"/>
    <w:rsid w:val="00D5680A"/>
    <w:rsid w:val="00D67D7C"/>
    <w:rsid w:val="00E30B59"/>
    <w:rsid w:val="00E434CB"/>
    <w:rsid w:val="00E43A23"/>
    <w:rsid w:val="00EA1DAE"/>
    <w:rsid w:val="00F33CC8"/>
    <w:rsid w:val="00F560F1"/>
    <w:rsid w:val="00F60FA6"/>
    <w:rsid w:val="00FB6957"/>
    <w:rsid w:val="00FC754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1A00F3DA-E479-4832-AA41-3AD1F9D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</w:pPr>
    <w:rPr>
      <w:rFonts w:ascii="Arial" w:eastAsia="Times New Roman" w:hAnsi="Arial" w:cs="Arial"/>
      <w:lang w:val="cs-CZ" w:eastAsia="en-US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Vraz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Snopko</cp:lastModifiedBy>
  <cp:revision>2</cp:revision>
  <dcterms:created xsi:type="dcterms:W3CDTF">2025-06-17T08:58:00Z</dcterms:created>
  <dcterms:modified xsi:type="dcterms:W3CDTF">2025-06-17T08:58:00Z</dcterms:modified>
</cp:coreProperties>
</file>