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9" w:rsidRPr="00607F85" w:rsidRDefault="00B258A9" w:rsidP="00D86528">
      <w:pPr>
        <w:rPr>
          <w:b/>
          <w:sz w:val="28"/>
          <w:szCs w:val="28"/>
        </w:rPr>
      </w:pPr>
      <w:r w:rsidRPr="00607F85">
        <w:rPr>
          <w:b/>
          <w:sz w:val="28"/>
          <w:szCs w:val="28"/>
        </w:rPr>
        <w:t>SKUEV0025 Vihorlat</w:t>
      </w:r>
    </w:p>
    <w:p w:rsidR="00B258A9" w:rsidRPr="000E2593" w:rsidRDefault="00D86528" w:rsidP="00B258A9">
      <w:pPr>
        <w:rPr>
          <w:b/>
          <w:szCs w:val="24"/>
        </w:rPr>
      </w:pPr>
      <w:r>
        <w:rPr>
          <w:b/>
          <w:szCs w:val="24"/>
        </w:rPr>
        <w:t>Ciele ochrany:</w:t>
      </w:r>
    </w:p>
    <w:p w:rsidR="00B258A9" w:rsidRDefault="00D86528" w:rsidP="00B25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  <w:r>
        <w:rPr>
          <w:szCs w:val="24"/>
        </w:rPr>
        <w:t>Zlepšenie</w:t>
      </w:r>
      <w:r w:rsidR="00B258A9">
        <w:rPr>
          <w:szCs w:val="24"/>
        </w:rPr>
        <w:t xml:space="preserve"> </w:t>
      </w:r>
      <w:r w:rsidR="00B258A9">
        <w:rPr>
          <w:szCs w:val="24"/>
        </w:rPr>
        <w:t>stav</w:t>
      </w:r>
      <w:r>
        <w:rPr>
          <w:szCs w:val="24"/>
        </w:rPr>
        <w:t>u</w:t>
      </w:r>
      <w:r w:rsidR="00B258A9">
        <w:rPr>
          <w:szCs w:val="24"/>
        </w:rPr>
        <w:t xml:space="preserve"> biotopu </w:t>
      </w:r>
      <w:r w:rsidR="00B258A9" w:rsidRPr="00D86528">
        <w:rPr>
          <w:b/>
          <w:szCs w:val="24"/>
        </w:rPr>
        <w:t>Ls5.1 (9130) Bu</w:t>
      </w:r>
      <w:bookmarkStart w:id="0" w:name="_GoBack"/>
      <w:bookmarkEnd w:id="0"/>
      <w:r w:rsidR="00B258A9" w:rsidRPr="00D86528">
        <w:rPr>
          <w:b/>
          <w:szCs w:val="24"/>
        </w:rPr>
        <w:t>kové a </w:t>
      </w:r>
      <w:proofErr w:type="spellStart"/>
      <w:r w:rsidR="00B258A9" w:rsidRPr="00D86528">
        <w:rPr>
          <w:b/>
          <w:szCs w:val="24"/>
        </w:rPr>
        <w:t>jedľovobukové</w:t>
      </w:r>
      <w:proofErr w:type="spellEnd"/>
      <w:r w:rsidR="00B258A9" w:rsidRPr="00D86528">
        <w:rPr>
          <w:b/>
          <w:szCs w:val="24"/>
        </w:rPr>
        <w:t xml:space="preserve"> kvetnaté lesy</w:t>
      </w:r>
      <w:r w:rsidR="00B258A9">
        <w:rPr>
          <w:szCs w:val="24"/>
        </w:rPr>
        <w:t xml:space="preserve"> za splnenia nasledovných parametrov:</w:t>
      </w:r>
    </w:p>
    <w:tbl>
      <w:tblPr>
        <w:tblW w:w="49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0"/>
        <w:gridCol w:w="1294"/>
        <w:gridCol w:w="1388"/>
        <w:gridCol w:w="4713"/>
      </w:tblGrid>
      <w:tr w:rsidR="00B258A9" w:rsidRPr="00EF2B57" w:rsidTr="00530454">
        <w:trPr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30454" w:rsidRPr="00EF2B57" w:rsidTr="00530454">
        <w:trPr>
          <w:trHeight w:val="275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EF2B57" w:rsidRDefault="00530454" w:rsidP="00530454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EF2B57" w:rsidRDefault="00530454" w:rsidP="00530454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530454" w:rsidRDefault="00530454" w:rsidP="005304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530454" w:rsidRDefault="00530454" w:rsidP="005304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súčasnosti evidujeme výmeru biotopu na 103,48 ha, je potrebné dosiahnuť zvýšenie výmera na 116 ha </w:t>
            </w:r>
            <w:r w:rsidRPr="00530454">
              <w:rPr>
                <w:color w:val="000000"/>
                <w:sz w:val="20"/>
                <w:szCs w:val="20"/>
              </w:rPr>
              <w:t xml:space="preserve">biotopu v ÚEV. </w:t>
            </w:r>
          </w:p>
        </w:tc>
      </w:tr>
      <w:tr w:rsidR="00B258A9" w:rsidRPr="00EF2B57" w:rsidTr="00530454">
        <w:trPr>
          <w:trHeight w:val="179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&lt;40%, 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*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&lt;25%,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*</w:t>
            </w:r>
            <w:r w:rsidRPr="00EF2B57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color w:val="000000"/>
                <w:sz w:val="18"/>
                <w:szCs w:val="18"/>
              </w:rPr>
              <w:t>minimálne 40%).</w:t>
            </w:r>
          </w:p>
        </w:tc>
      </w:tr>
      <w:tr w:rsidR="00B258A9" w:rsidRPr="00EF2B57" w:rsidTr="00530454">
        <w:trPr>
          <w:trHeight w:val="173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najmenej 5</w:t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spacing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Aconitum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moldavicum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Actaea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spicata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Asarum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europaeum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Athyrium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filix-femina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Bromus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benekenii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pilosa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Dentaria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bulbifera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enneaphyllos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glandulosa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Dryopteris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filix-mas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drymeja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Galeobdolon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luteum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odoratum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robertianum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Hordelymus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europaeus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Isopyrum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thalictroides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Lilium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martagon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nutans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M.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Mercurialis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perennis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Myosotis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Oxalis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Paris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quadrifolia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verticillatum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Prenanthes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purpurea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obscura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Rubus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hirtus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Salvia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glutinosa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Sanicula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europaea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Senecio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ovatus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Symphytum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tuberosum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amygdaloides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reichenbachiana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258A9" w:rsidRPr="00EF2B57" w:rsidTr="00530454">
        <w:trPr>
          <w:trHeight w:val="114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).</w:t>
            </w:r>
          </w:p>
        </w:tc>
      </w:tr>
      <w:tr w:rsidR="00B258A9" w:rsidRPr="00EF2B57" w:rsidTr="00530454">
        <w:trPr>
          <w:trHeight w:val="114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B258A9" w:rsidRPr="00EF2B57" w:rsidRDefault="00B258A9" w:rsidP="00D8652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(stojace, ležiace kmene stromov hlavnej úrovne s limit</w:t>
            </w:r>
            <w:r w:rsidR="00D86528">
              <w:rPr>
                <w:color w:val="000000"/>
                <w:sz w:val="18"/>
                <w:szCs w:val="18"/>
              </w:rPr>
              <w:t>nou hrúbkou d1,3 najmenej 30 cm</w:t>
            </w:r>
            <w:r w:rsidRPr="00EF2B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</w:t>
            </w:r>
            <w:r w:rsidRPr="00EF2B5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F2B57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8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najmenej 20</w:t>
            </w:r>
          </w:p>
          <w:p w:rsidR="00B258A9" w:rsidRPr="00EF2B57" w:rsidRDefault="00B258A9" w:rsidP="00D8652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rovnomerne po celej ploche</w:t>
            </w:r>
            <w:r w:rsidRPr="00EF2B57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7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B258A9" w:rsidRPr="00EF2B57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B258A9" w:rsidRDefault="00B258A9" w:rsidP="00B258A9"/>
    <w:p w:rsidR="00B258A9" w:rsidRDefault="00D86528" w:rsidP="00B258A9">
      <w:pPr>
        <w:pBdr>
          <w:top w:val="nil"/>
          <w:left w:val="nil"/>
          <w:bottom w:val="nil"/>
          <w:right w:val="nil"/>
          <w:between w:val="nil"/>
        </w:pBdr>
        <w:ind w:hanging="142"/>
        <w:rPr>
          <w:szCs w:val="24"/>
        </w:rPr>
      </w:pPr>
      <w:r>
        <w:rPr>
          <w:szCs w:val="24"/>
        </w:rPr>
        <w:t>Zachovanie</w:t>
      </w:r>
      <w:r w:rsidR="00B258A9">
        <w:rPr>
          <w:szCs w:val="24"/>
        </w:rPr>
        <w:t xml:space="preserve"> stav</w:t>
      </w:r>
      <w:r>
        <w:rPr>
          <w:szCs w:val="24"/>
        </w:rPr>
        <w:t>u</w:t>
      </w:r>
      <w:r w:rsidR="00B258A9">
        <w:rPr>
          <w:szCs w:val="24"/>
        </w:rPr>
        <w:t xml:space="preserve"> biotopu </w:t>
      </w:r>
      <w:r w:rsidR="00B258A9" w:rsidRPr="00D86528">
        <w:rPr>
          <w:b/>
          <w:szCs w:val="24"/>
        </w:rPr>
        <w:t xml:space="preserve">Ls5.2 (9110) </w:t>
      </w:r>
      <w:proofErr w:type="spellStart"/>
      <w:r w:rsidR="00B258A9" w:rsidRPr="00D86528">
        <w:rPr>
          <w:b/>
          <w:szCs w:val="24"/>
        </w:rPr>
        <w:t>Kyslomilné</w:t>
      </w:r>
      <w:proofErr w:type="spellEnd"/>
      <w:r w:rsidR="00B258A9" w:rsidRPr="00D86528">
        <w:rPr>
          <w:b/>
          <w:szCs w:val="24"/>
        </w:rPr>
        <w:t xml:space="preserve"> bukové lesy</w:t>
      </w:r>
      <w:r w:rsidR="00B258A9">
        <w:rPr>
          <w:szCs w:val="24"/>
        </w:rPr>
        <w:t xml:space="preserve"> za splnenia nasledovných parametrov:</w:t>
      </w:r>
    </w:p>
    <w:tbl>
      <w:tblPr>
        <w:tblW w:w="49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2"/>
        <w:gridCol w:w="1331"/>
        <w:gridCol w:w="1265"/>
        <w:gridCol w:w="4674"/>
      </w:tblGrid>
      <w:tr w:rsidR="00B258A9" w:rsidRPr="00EF2B57" w:rsidTr="00530454">
        <w:trPr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30454" w:rsidRPr="00EF2B57" w:rsidTr="00530454">
        <w:trPr>
          <w:trHeight w:val="193"/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EF2B57" w:rsidRDefault="00530454" w:rsidP="00530454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EF2B57" w:rsidRDefault="00530454" w:rsidP="00530454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530454" w:rsidRDefault="00530454" w:rsidP="005304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79,42</w:t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454" w:rsidRPr="00530454" w:rsidRDefault="00530454" w:rsidP="005304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530454">
              <w:rPr>
                <w:color w:val="000000"/>
                <w:sz w:val="20"/>
                <w:szCs w:val="20"/>
              </w:rPr>
              <w:t>Min. udržanie existujúcej výmery biotopu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30454">
              <w:rPr>
                <w:color w:val="000000"/>
                <w:sz w:val="20"/>
                <w:szCs w:val="20"/>
              </w:rPr>
              <w:t>ÚEV</w:t>
            </w:r>
            <w:r>
              <w:rPr>
                <w:color w:val="000000"/>
                <w:sz w:val="20"/>
                <w:szCs w:val="20"/>
              </w:rPr>
              <w:t xml:space="preserve"> na 79,42 ha, alebo zvýšenie na 90 ha</w:t>
            </w:r>
            <w:r w:rsidRPr="00530454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258A9" w:rsidRPr="00EF2B57" w:rsidTr="00530454">
        <w:trPr>
          <w:trHeight w:val="179"/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lastRenderedPageBreak/>
              <w:t>Zastúpenie charakteristických drevín</w:t>
            </w:r>
          </w:p>
        </w:tc>
        <w:tc>
          <w:tcPr>
            <w:tcW w:w="13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4.lvs –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&lt;30%, Acer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pendula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tremula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Q.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T.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5.lvs –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&lt;40%, 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pendula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*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Larix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decidua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&lt;30%,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*</w:t>
            </w:r>
            <w:r w:rsidRPr="00EF2B57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color w:val="000000"/>
                <w:sz w:val="18"/>
                <w:szCs w:val="18"/>
              </w:rPr>
              <w:t>minimálne 40%).</w:t>
            </w:r>
          </w:p>
        </w:tc>
      </w:tr>
      <w:tr w:rsidR="00B258A9" w:rsidRPr="00EF2B57" w:rsidTr="00530454">
        <w:trPr>
          <w:trHeight w:val="173"/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Avenella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flexuosa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Calamagrostis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arundinacea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villosa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Dryopteris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carthusiana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dilatata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Hieracium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murorum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pilosa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Maianthemum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bifolium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Melampyrum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pratense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Oxalis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verticillatum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Vaccinium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myrtillus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258A9" w:rsidRPr="00EF2B57" w:rsidTr="00530454">
        <w:trPr>
          <w:trHeight w:val="114"/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3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).</w:t>
            </w:r>
          </w:p>
        </w:tc>
      </w:tr>
      <w:tr w:rsidR="00B258A9" w:rsidRPr="00EF2B57" w:rsidTr="00530454">
        <w:trPr>
          <w:trHeight w:val="114"/>
          <w:jc w:val="center"/>
        </w:trPr>
        <w:tc>
          <w:tcPr>
            <w:tcW w:w="17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B258A9" w:rsidRPr="00EF2B57" w:rsidRDefault="00B258A9" w:rsidP="00D865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(stojace, ležiace kmene stromov hlavnej úrovne s limit</w:t>
            </w:r>
            <w:r w:rsidR="00D86528">
              <w:rPr>
                <w:color w:val="000000"/>
                <w:sz w:val="18"/>
                <w:szCs w:val="18"/>
              </w:rPr>
              <w:t>nou hrúbkou d1,3 najmenej 30 cm</w:t>
            </w:r>
            <w:r w:rsidRPr="00EF2B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</w:t>
            </w:r>
            <w:r w:rsidRPr="00EF2B5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F2B57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D86528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najmenej 20 rovnomer</w:t>
            </w:r>
            <w:r w:rsidR="00B258A9" w:rsidRPr="00EF2B57">
              <w:rPr>
                <w:color w:val="000000"/>
                <w:sz w:val="18"/>
                <w:szCs w:val="18"/>
              </w:rPr>
              <w:t>ne po celej ploche</w:t>
            </w:r>
            <w:r w:rsidR="00B258A9" w:rsidRPr="00EF2B57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6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B258A9" w:rsidRDefault="00B258A9" w:rsidP="00B258A9"/>
    <w:p w:rsidR="00B258A9" w:rsidRDefault="00D86528" w:rsidP="00B258A9">
      <w:pPr>
        <w:pBdr>
          <w:top w:val="nil"/>
          <w:left w:val="nil"/>
          <w:bottom w:val="nil"/>
          <w:right w:val="nil"/>
          <w:between w:val="nil"/>
        </w:pBdr>
        <w:ind w:hanging="142"/>
        <w:rPr>
          <w:szCs w:val="24"/>
        </w:rPr>
      </w:pPr>
      <w:r>
        <w:rPr>
          <w:szCs w:val="24"/>
        </w:rPr>
        <w:t>Zachovanie</w:t>
      </w:r>
      <w:r w:rsidR="00B258A9">
        <w:rPr>
          <w:szCs w:val="24"/>
        </w:rPr>
        <w:t xml:space="preserve"> stav</w:t>
      </w:r>
      <w:r>
        <w:rPr>
          <w:szCs w:val="24"/>
        </w:rPr>
        <w:t>u</w:t>
      </w:r>
      <w:r w:rsidR="00B258A9">
        <w:rPr>
          <w:szCs w:val="24"/>
        </w:rPr>
        <w:t xml:space="preserve"> biotopu </w:t>
      </w:r>
      <w:r w:rsidR="00B258A9" w:rsidRPr="00D86528">
        <w:rPr>
          <w:b/>
          <w:szCs w:val="24"/>
        </w:rPr>
        <w:t>Ls5.3 (9140) Javorovo-bukové horské lesy</w:t>
      </w:r>
      <w:r w:rsidR="00B258A9">
        <w:rPr>
          <w:szCs w:val="24"/>
        </w:rPr>
        <w:t xml:space="preserve"> za splnenia nasledovných parametrov: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2"/>
        <w:gridCol w:w="1330"/>
        <w:gridCol w:w="1261"/>
        <w:gridCol w:w="4530"/>
      </w:tblGrid>
      <w:tr w:rsidR="00B258A9" w:rsidRPr="00870D1F" w:rsidTr="00E847DA">
        <w:trPr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870D1F" w:rsidTr="00E847DA">
        <w:trPr>
          <w:trHeight w:val="208"/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B258A9" w:rsidRPr="00870D1F" w:rsidTr="00E847DA">
        <w:trPr>
          <w:trHeight w:val="179"/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EF2B57">
              <w:rPr>
                <w:color w:val="000000"/>
                <w:sz w:val="18"/>
                <w:szCs w:val="18"/>
              </w:rPr>
              <w:t>najmenej 90 %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* &lt;20% (zvyšovať podiel),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** &lt;30% (znižovať podiel),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T.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Pozn.:</w:t>
            </w:r>
            <w:r w:rsidRPr="00EF2B57">
              <w:rPr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Hrubším typom písma sú vyznačené dominantné druhy biotopu.</w:t>
            </w:r>
          </w:p>
        </w:tc>
      </w:tr>
      <w:tr w:rsidR="00B258A9" w:rsidRPr="00870D1F" w:rsidTr="00E847DA">
        <w:trPr>
          <w:trHeight w:val="173"/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Acetosa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arifolia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Aconitum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firmum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Adenostyles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alliariae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Allium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victorialis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Anthriscus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nitidus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Athyrium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distentifolium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Cicerbita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alpina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Cortusa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matthioli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Crepis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paludosa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Cystopteris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sudetica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Delphinium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elatum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Epilobium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alpestre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phaeum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G.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sylvaticum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Hesperis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matronalis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subsp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nivea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),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Petasites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Polystichum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lonchitis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Ranunculus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lanuginosus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R.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platanifolius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Senecio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subalpinus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Soldanella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carpatica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Valeriana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subs</w:t>
            </w:r>
            <w:r w:rsidRPr="00EF2B57">
              <w:rPr>
                <w:i/>
                <w:color w:val="000000"/>
                <w:sz w:val="18"/>
                <w:szCs w:val="18"/>
              </w:rPr>
              <w:t>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sambucifolia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V.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tripteris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biflora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Lonicera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nigra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Ribes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alpinum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258A9" w:rsidRPr="00870D1F" w:rsidTr="00E847DA">
        <w:trPr>
          <w:trHeight w:val="114"/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color w:val="000000"/>
                <w:sz w:val="18"/>
                <w:szCs w:val="18"/>
              </w:rPr>
              <w:lastRenderedPageBreak/>
              <w:t>druhov/inváznych druhov drevín a bylín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lastRenderedPageBreak/>
              <w:t>Percento pokrytia / ha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).</w:t>
            </w:r>
          </w:p>
        </w:tc>
      </w:tr>
      <w:tr w:rsidR="00B258A9" w:rsidRPr="00870D1F" w:rsidTr="00E847DA">
        <w:trPr>
          <w:trHeight w:val="114"/>
          <w:jc w:val="center"/>
        </w:trPr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B258A9" w:rsidRPr="00EF2B57" w:rsidRDefault="00B258A9" w:rsidP="00D865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(stojace, ležiace kmene stromov hlavnej úrovne s limit</w:t>
            </w:r>
            <w:r w:rsidR="00D86528">
              <w:rPr>
                <w:color w:val="000000"/>
                <w:sz w:val="18"/>
                <w:szCs w:val="18"/>
              </w:rPr>
              <w:t>nou hrúbkou d1,3 najmenej 30 cm</w:t>
            </w:r>
            <w:r w:rsidRPr="00EF2B5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</w:t>
            </w:r>
            <w:r w:rsidRPr="00EF2B5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F2B57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D86528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najmenej 40 rovnomer</w:t>
            </w:r>
            <w:r w:rsidR="00B258A9" w:rsidRPr="00EF2B57">
              <w:rPr>
                <w:color w:val="000000"/>
                <w:sz w:val="18"/>
                <w:szCs w:val="18"/>
              </w:rPr>
              <w:t>ne po celej ploche</w:t>
            </w:r>
            <w:r w:rsidR="00B258A9" w:rsidRPr="00EF2B57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B258A9" w:rsidRDefault="00B258A9" w:rsidP="00B258A9"/>
    <w:p w:rsidR="00B258A9" w:rsidRDefault="00D86528" w:rsidP="00B258A9">
      <w:pPr>
        <w:pBdr>
          <w:top w:val="nil"/>
          <w:left w:val="nil"/>
          <w:bottom w:val="nil"/>
          <w:right w:val="nil"/>
          <w:between w:val="nil"/>
        </w:pBdr>
        <w:ind w:hanging="142"/>
        <w:rPr>
          <w:szCs w:val="24"/>
        </w:rPr>
      </w:pPr>
      <w:r>
        <w:rPr>
          <w:szCs w:val="24"/>
        </w:rPr>
        <w:t>Zachovanie</w:t>
      </w:r>
      <w:r w:rsidR="00B258A9">
        <w:rPr>
          <w:szCs w:val="24"/>
        </w:rPr>
        <w:t xml:space="preserve"> stav</w:t>
      </w:r>
      <w:r>
        <w:rPr>
          <w:szCs w:val="24"/>
        </w:rPr>
        <w:t>u</w:t>
      </w:r>
      <w:r w:rsidR="00B258A9">
        <w:rPr>
          <w:szCs w:val="24"/>
        </w:rPr>
        <w:t xml:space="preserve"> biotopu </w:t>
      </w:r>
      <w:r w:rsidR="00B258A9" w:rsidRPr="00D86528">
        <w:rPr>
          <w:b/>
          <w:szCs w:val="24"/>
        </w:rPr>
        <w:t>Ls4 (9180*) Lipovo-javorové sutinové lesy</w:t>
      </w:r>
      <w:r w:rsidR="00B258A9">
        <w:rPr>
          <w:szCs w:val="24"/>
        </w:rPr>
        <w:t xml:space="preserve"> za splnenia nasledovných parametrov:</w:t>
      </w:r>
    </w:p>
    <w:tbl>
      <w:tblPr>
        <w:tblW w:w="46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0"/>
        <w:gridCol w:w="1330"/>
        <w:gridCol w:w="1062"/>
        <w:gridCol w:w="4308"/>
      </w:tblGrid>
      <w:tr w:rsidR="00B258A9" w:rsidRPr="00EF2B57" w:rsidTr="00E847DA">
        <w:trPr>
          <w:trHeight w:val="458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EF2B57" w:rsidTr="00E847DA">
        <w:trPr>
          <w:trHeight w:val="86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rFonts w:eastAsia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Udržanie súčasnej výmery biotopu v ÚEV.</w:t>
            </w:r>
          </w:p>
        </w:tc>
      </w:tr>
      <w:tr w:rsidR="00B258A9" w:rsidRPr="00EF2B57" w:rsidTr="00E847DA">
        <w:trPr>
          <w:trHeight w:val="179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EF2B57">
              <w:rPr>
                <w:color w:val="000000"/>
                <w:sz w:val="18"/>
                <w:szCs w:val="18"/>
              </w:rPr>
              <w:t>najmenej 90 %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3. 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lvs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:</w:t>
            </w:r>
            <w:r w:rsidRPr="00EF2B57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Acer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&lt;5%, 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Q.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 T.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U.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4. 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lvs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:</w:t>
            </w:r>
            <w:r w:rsidRPr="00EF2B57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&lt;20%, Acer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Larix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decidua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Q.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Q.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 T.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5. 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lvs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:</w:t>
            </w:r>
            <w:r w:rsidRPr="00EF2B57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&lt;40%, 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A.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Larix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decidua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Taxus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baccata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T.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B258A9" w:rsidRPr="00EF2B57" w:rsidRDefault="00B258A9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6. 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lvs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:</w:t>
            </w:r>
            <w:r w:rsidRPr="00EF2B57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&lt;40%,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 A. 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Larix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decidua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&lt;25%,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&lt;10%,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Taxus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baccata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</w:t>
            </w:r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T.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b/>
                <w:color w:val="000000"/>
                <w:sz w:val="18"/>
                <w:szCs w:val="18"/>
              </w:rPr>
              <w:t>Pozn.:</w:t>
            </w:r>
            <w:r w:rsidRPr="00EF2B57">
              <w:rPr>
                <w:color w:val="000000"/>
                <w:sz w:val="18"/>
                <w:szCs w:val="18"/>
              </w:rPr>
              <w:t xml:space="preserve"> </w:t>
            </w:r>
            <w:r w:rsidRPr="00EF2B57">
              <w:rPr>
                <w:i/>
                <w:color w:val="000000"/>
                <w:sz w:val="18"/>
                <w:szCs w:val="18"/>
              </w:rPr>
              <w:t>Hrubším typom písma sú vyznačené dominantné druhy biotopu.</w:t>
            </w:r>
          </w:p>
        </w:tc>
      </w:tr>
      <w:tr w:rsidR="00B258A9" w:rsidRPr="00EF2B57" w:rsidTr="00E847DA">
        <w:trPr>
          <w:trHeight w:val="173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podrastu (</w:t>
            </w:r>
            <w:r w:rsidRPr="00EF2B57">
              <w:rPr>
                <w:i/>
                <w:color w:val="000000"/>
                <w:sz w:val="18"/>
                <w:szCs w:val="18"/>
              </w:rPr>
              <w:t xml:space="preserve">bylín, krov,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machorastov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Aconitum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moldavicum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), A.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variegatum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A.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vulparia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Actaea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spicata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Alliaria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petiolata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Aruncus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rapunculoides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Chelidonium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majus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Clematis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alpina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Cortusa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matthioli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Cystopteris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>, C. 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sudetica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robertianum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Hesperis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matronalis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subsp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nivea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Lamium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maculatum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Lunaria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rediviva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Mercurialis</w:t>
            </w:r>
            <w:proofErr w:type="spellEnd"/>
            <w:r w:rsidRPr="00EF2B5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b/>
                <w:i/>
                <w:color w:val="000000"/>
                <w:sz w:val="18"/>
                <w:szCs w:val="18"/>
              </w:rPr>
              <w:t>perenis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Phyllitis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scolopendrium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Polystichum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aculeatum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Urtica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dioica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Ribes</w:t>
            </w:r>
            <w:proofErr w:type="spellEnd"/>
            <w:r w:rsidRPr="00EF2B5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2B57">
              <w:rPr>
                <w:i/>
                <w:color w:val="000000"/>
                <w:sz w:val="18"/>
                <w:szCs w:val="18"/>
              </w:rPr>
              <w:t>alpinum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.</w:t>
            </w:r>
          </w:p>
        </w:tc>
      </w:tr>
      <w:tr w:rsidR="00B258A9" w:rsidRPr="00EF2B57" w:rsidTr="00E847DA">
        <w:trPr>
          <w:trHeight w:val="114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EF2B5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B258A9" w:rsidRPr="00EF2B57" w:rsidTr="00E847DA">
        <w:trPr>
          <w:trHeight w:val="565"/>
          <w:jc w:val="center"/>
        </w:trPr>
        <w:tc>
          <w:tcPr>
            <w:tcW w:w="17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lastRenderedPageBreak/>
              <w:t>Mŕtve drevo (stojace, ležiace kmene stromov hlavnej úrovne)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m</w:t>
            </w:r>
            <w:r w:rsidRPr="00EF2B5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F2B57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viac ako 40</w:t>
            </w:r>
          </w:p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2B57">
              <w:rPr>
                <w:color w:val="000000"/>
                <w:sz w:val="18"/>
                <w:szCs w:val="18"/>
              </w:rPr>
              <w:t>rovnomer-ne</w:t>
            </w:r>
            <w:proofErr w:type="spellEnd"/>
            <w:r w:rsidRPr="00EF2B57">
              <w:rPr>
                <w:color w:val="000000"/>
                <w:sz w:val="18"/>
                <w:szCs w:val="18"/>
              </w:rPr>
              <w:t xml:space="preserve"> po celej ploche</w:t>
            </w:r>
          </w:p>
        </w:tc>
        <w:tc>
          <w:tcPr>
            <w:tcW w:w="44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58A9" w:rsidRPr="00EF2B57" w:rsidRDefault="00B258A9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2B57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B258A9" w:rsidRDefault="00B258A9" w:rsidP="00B258A9"/>
    <w:p w:rsidR="00B258A9" w:rsidRDefault="00D86528" w:rsidP="00B258A9">
      <w:r>
        <w:t>Zachovanie</w:t>
      </w:r>
      <w:r w:rsidR="00B258A9">
        <w:t xml:space="preserve"> </w:t>
      </w:r>
      <w:r>
        <w:t xml:space="preserve">stavu </w:t>
      </w:r>
      <w:r w:rsidR="00B258A9">
        <w:t xml:space="preserve">biotopu </w:t>
      </w:r>
      <w:r w:rsidR="00B258A9" w:rsidRPr="00D86528">
        <w:rPr>
          <w:b/>
        </w:rPr>
        <w:t xml:space="preserve">Sk2 (8220) Silikátové skalné steny a svahy so štrbinovou vegetáciou </w:t>
      </w:r>
      <w:r w:rsidR="00B258A9">
        <w:t>za splnenia nasledovných parametrov:</w:t>
      </w:r>
    </w:p>
    <w:tbl>
      <w:tblPr>
        <w:tblW w:w="4694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588"/>
        <w:gridCol w:w="1627"/>
        <w:gridCol w:w="3802"/>
      </w:tblGrid>
      <w:tr w:rsidR="00B258A9" w:rsidRPr="00547B02" w:rsidTr="00E847DA">
        <w:trPr>
          <w:trHeight w:val="570"/>
        </w:trPr>
        <w:tc>
          <w:tcPr>
            <w:tcW w:w="1464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547B02" w:rsidTr="00E847DA">
        <w:trPr>
          <w:trHeight w:val="290"/>
        </w:trPr>
        <w:tc>
          <w:tcPr>
            <w:tcW w:w="1464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ha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58A9" w:rsidRPr="00547B02" w:rsidRDefault="00530454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B258A9" w:rsidRPr="00547B02" w:rsidRDefault="00B258A9" w:rsidP="00530454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Udržať výmeru biotopu</w:t>
            </w:r>
            <w:r w:rsidR="0053045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58A9" w:rsidRPr="00547B02" w:rsidTr="00E847DA">
        <w:trPr>
          <w:trHeight w:val="290"/>
        </w:trPr>
        <w:tc>
          <w:tcPr>
            <w:tcW w:w="1464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najmenej 2 druhy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adianthum-nigrum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trichomanes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septentrionale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Aurinia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saxatilis,Bellardiochloa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variegata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Calluna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rotundifolia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Cardaminospsis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arenosa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Draba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fladninensis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Draba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siliquosa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Minuartia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hirsuta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Polypodium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Saxifraga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bryoides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Woodsia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>ilvensis</w:t>
            </w:r>
            <w:proofErr w:type="spellEnd"/>
            <w:r w:rsidRPr="00547B0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B258A9" w:rsidRPr="00547B02" w:rsidTr="00E847DA">
        <w:trPr>
          <w:trHeight w:val="290"/>
        </w:trPr>
        <w:tc>
          <w:tcPr>
            <w:tcW w:w="1464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Menej ako 10 %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Minimálny výskyt drevín na skalných útvaroch.</w:t>
            </w:r>
          </w:p>
        </w:tc>
      </w:tr>
      <w:tr w:rsidR="00B258A9" w:rsidRPr="00547B02" w:rsidTr="00E847DA">
        <w:trPr>
          <w:trHeight w:val="290"/>
        </w:trPr>
        <w:tc>
          <w:tcPr>
            <w:tcW w:w="1464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547B02">
              <w:rPr>
                <w:rFonts w:eastAsia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547B02">
              <w:rPr>
                <w:rFonts w:eastAsia="Times New Roman"/>
                <w:color w:val="000000"/>
                <w:sz w:val="18"/>
                <w:szCs w:val="18"/>
              </w:rPr>
              <w:t>/</w:t>
            </w:r>
          </w:p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inváznych/invázne sa správajúcich druhov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Žiadny výskyt nepôvodných a inváznych druhov. </w:t>
            </w:r>
          </w:p>
        </w:tc>
      </w:tr>
    </w:tbl>
    <w:p w:rsidR="00B258A9" w:rsidRDefault="00B258A9" w:rsidP="00B258A9"/>
    <w:p w:rsidR="00B258A9" w:rsidRDefault="00D86528" w:rsidP="00B258A9">
      <w:r>
        <w:t>Zlepšenie</w:t>
      </w:r>
      <w:r w:rsidR="00B258A9">
        <w:t xml:space="preserve"> stav</w:t>
      </w:r>
      <w:r>
        <w:t>u</w:t>
      </w:r>
      <w:r w:rsidR="00B258A9">
        <w:t xml:space="preserve"> druhu </w:t>
      </w:r>
      <w:proofErr w:type="spellStart"/>
      <w:r w:rsidR="00B258A9" w:rsidRPr="00D86528">
        <w:rPr>
          <w:b/>
          <w:i/>
        </w:rPr>
        <w:t>Barbastella</w:t>
      </w:r>
      <w:proofErr w:type="spellEnd"/>
      <w:r w:rsidR="00B258A9" w:rsidRPr="00D86528">
        <w:rPr>
          <w:b/>
          <w:i/>
        </w:rPr>
        <w:t xml:space="preserve"> </w:t>
      </w:r>
      <w:proofErr w:type="spellStart"/>
      <w:r w:rsidR="00B258A9" w:rsidRPr="00D86528">
        <w:rPr>
          <w:b/>
          <w:i/>
        </w:rPr>
        <w:t>barbastellus</w:t>
      </w:r>
      <w:proofErr w:type="spellEnd"/>
      <w:r w:rsidR="00B258A9">
        <w:t xml:space="preserve"> za splnenia nasledovných parametrov:</w:t>
      </w:r>
    </w:p>
    <w:tbl>
      <w:tblPr>
        <w:tblW w:w="4771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9"/>
        <w:gridCol w:w="1295"/>
        <w:gridCol w:w="1553"/>
        <w:gridCol w:w="4400"/>
      </w:tblGrid>
      <w:tr w:rsidR="00B258A9" w:rsidRPr="00547B02" w:rsidTr="00E847DA">
        <w:trPr>
          <w:trHeight w:val="3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547B02" w:rsidTr="00E847DA">
        <w:trPr>
          <w:trHeight w:val="27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A9" w:rsidRPr="00547B02" w:rsidRDefault="00D86528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Min.100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D86528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Odhaduje sa len náhodný výskyt (zaznamenanie 50 až 150 jedincov v rámci celého ÚEV), je potrebný monitoring stavu populácie druhu.</w:t>
            </w:r>
          </w:p>
        </w:tc>
      </w:tr>
      <w:tr w:rsidR="00B258A9" w:rsidRPr="00547B02" w:rsidTr="00E847DA">
        <w:trPr>
          <w:trHeight w:val="9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V súčasnosti neevidujeme známe zimoviská uvedeného druhu.</w:t>
            </w:r>
          </w:p>
        </w:tc>
      </w:tr>
      <w:tr w:rsidR="00B258A9" w:rsidRPr="00547B02" w:rsidTr="00E847DA">
        <w:trPr>
          <w:trHeight w:val="9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 xml:space="preserve">Rozloha potenciálneho potravného biotopu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B258A9" w:rsidRDefault="00B258A9" w:rsidP="00B258A9"/>
    <w:p w:rsidR="00B258A9" w:rsidRPr="00802A9C" w:rsidRDefault="00B258A9" w:rsidP="00B258A9">
      <w:pPr>
        <w:spacing w:line="240" w:lineRule="auto"/>
        <w:rPr>
          <w:color w:val="000000"/>
        </w:rPr>
      </w:pPr>
      <w:r>
        <w:rPr>
          <w:color w:val="000000"/>
        </w:rPr>
        <w:t xml:space="preserve">Zlepšenie stavu </w:t>
      </w:r>
      <w:r w:rsidRPr="00802A9C">
        <w:rPr>
          <w:color w:val="000000"/>
        </w:rPr>
        <w:t xml:space="preserve">druhu </w:t>
      </w:r>
      <w:proofErr w:type="spellStart"/>
      <w:r w:rsidRPr="00D86528">
        <w:rPr>
          <w:b/>
          <w:i/>
          <w:color w:val="000000"/>
        </w:rPr>
        <w:t>Myotis</w:t>
      </w:r>
      <w:proofErr w:type="spellEnd"/>
      <w:r w:rsidRPr="00D86528">
        <w:rPr>
          <w:b/>
          <w:i/>
          <w:color w:val="000000"/>
        </w:rPr>
        <w:t xml:space="preserve"> </w:t>
      </w:r>
      <w:proofErr w:type="spellStart"/>
      <w:r w:rsidRPr="00D86528">
        <w:rPr>
          <w:b/>
          <w:i/>
          <w:color w:val="000000"/>
        </w:rPr>
        <w:t>myotis</w:t>
      </w:r>
      <w:proofErr w:type="spellEnd"/>
      <w:r>
        <w:rPr>
          <w:b/>
          <w:i/>
          <w:color w:val="000000"/>
        </w:rPr>
        <w:t xml:space="preserve"> </w:t>
      </w:r>
      <w:r>
        <w:rPr>
          <w:color w:val="000000"/>
        </w:rPr>
        <w:t>za splnenia nasledovných atribútov.</w:t>
      </w:r>
    </w:p>
    <w:tbl>
      <w:tblPr>
        <w:tblW w:w="89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335"/>
      </w:tblGrid>
      <w:tr w:rsidR="00B258A9" w:rsidRPr="00547B02" w:rsidTr="00E847DA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sz w:val="18"/>
                <w:szCs w:val="18"/>
              </w:rPr>
            </w:pPr>
            <w:r w:rsidRPr="00547B02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47B02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47B02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sz w:val="18"/>
                <w:szCs w:val="18"/>
              </w:rPr>
            </w:pPr>
            <w:r w:rsidRPr="00547B02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B258A9" w:rsidRPr="00547B02" w:rsidTr="00E847D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D86528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50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D86528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 xml:space="preserve">Odhaduje sa len náhodný výskyt (zaznamenanie </w:t>
            </w:r>
            <w:r w:rsidR="00D86528">
              <w:rPr>
                <w:sz w:val="18"/>
                <w:szCs w:val="18"/>
              </w:rPr>
              <w:t xml:space="preserve">10 - </w:t>
            </w:r>
            <w:r w:rsidRPr="00547B02">
              <w:rPr>
                <w:sz w:val="18"/>
                <w:szCs w:val="18"/>
              </w:rPr>
              <w:t>50 jedincov v rámci celého ÚEV), je potrebný monitoring stavu populácie druhu.</w:t>
            </w:r>
          </w:p>
        </w:tc>
      </w:tr>
      <w:tr w:rsidR="00B258A9" w:rsidRPr="00547B02" w:rsidTr="00E847DA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lastRenderedPageBreak/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V súčasnosti neevidujeme známe zimoviská uvedeného druhu.</w:t>
            </w:r>
          </w:p>
        </w:tc>
      </w:tr>
      <w:tr w:rsidR="00B258A9" w:rsidRPr="00547B02" w:rsidTr="00E847DA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Rozloha potenciálneho potravného biotopu</w:t>
            </w:r>
            <w:r w:rsidRPr="00547B0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Neznáma, bude definovaná po 2 ročnom monitoringu stavu populácie v území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Lesné biotopy v území – poskytujú lokality na rozmnožovanie, potravné biotopy a úkrytové biotopy</w:t>
            </w:r>
          </w:p>
        </w:tc>
      </w:tr>
    </w:tbl>
    <w:p w:rsidR="00B258A9" w:rsidRDefault="00B258A9" w:rsidP="00B258A9"/>
    <w:p w:rsidR="00B258A9" w:rsidRPr="00802A9C" w:rsidRDefault="00B258A9" w:rsidP="00B258A9">
      <w:pPr>
        <w:spacing w:line="240" w:lineRule="auto"/>
        <w:rPr>
          <w:color w:val="000000"/>
        </w:rPr>
      </w:pPr>
      <w:r>
        <w:rPr>
          <w:color w:val="000000"/>
        </w:rPr>
        <w:t xml:space="preserve">Zlepšenie stavu </w:t>
      </w:r>
      <w:r w:rsidRPr="00802A9C">
        <w:rPr>
          <w:color w:val="000000"/>
        </w:rPr>
        <w:t xml:space="preserve">druhu </w:t>
      </w:r>
      <w:proofErr w:type="spellStart"/>
      <w:r w:rsidRPr="00D86528">
        <w:rPr>
          <w:b/>
          <w:i/>
          <w:color w:val="000000"/>
        </w:rPr>
        <w:t>Myotis</w:t>
      </w:r>
      <w:proofErr w:type="spellEnd"/>
      <w:r w:rsidRPr="00D86528">
        <w:rPr>
          <w:b/>
          <w:i/>
          <w:color w:val="000000"/>
        </w:rPr>
        <w:t xml:space="preserve"> </w:t>
      </w:r>
      <w:proofErr w:type="spellStart"/>
      <w:r w:rsidRPr="00D86528">
        <w:rPr>
          <w:b/>
          <w:i/>
          <w:color w:val="000000"/>
        </w:rPr>
        <w:t>emarginatus</w:t>
      </w:r>
      <w:proofErr w:type="spellEnd"/>
      <w:r w:rsidRPr="00D86528">
        <w:rPr>
          <w:b/>
          <w:i/>
          <w:color w:val="000000"/>
        </w:rPr>
        <w:t xml:space="preserve"> </w:t>
      </w:r>
      <w:r>
        <w:rPr>
          <w:color w:val="000000"/>
        </w:rPr>
        <w:t>za splnenia nasledovných atribútov.</w:t>
      </w:r>
    </w:p>
    <w:tbl>
      <w:tblPr>
        <w:tblW w:w="4822" w:type="pct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4"/>
        <w:gridCol w:w="1423"/>
        <w:gridCol w:w="1679"/>
        <w:gridCol w:w="3803"/>
      </w:tblGrid>
      <w:tr w:rsidR="00B258A9" w:rsidRPr="00547B02" w:rsidTr="00E847DA">
        <w:trPr>
          <w:trHeight w:val="3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547B02" w:rsidTr="00E847DA">
        <w:trPr>
          <w:trHeight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D86528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Odhaduje sa len náhodný výskyt (zaznamenanie do 5</w:t>
            </w:r>
            <w:r w:rsidR="00D86528">
              <w:rPr>
                <w:sz w:val="18"/>
                <w:szCs w:val="18"/>
              </w:rPr>
              <w:t xml:space="preserve"> </w:t>
            </w:r>
            <w:r w:rsidRPr="00547B02">
              <w:rPr>
                <w:sz w:val="18"/>
                <w:szCs w:val="18"/>
              </w:rPr>
              <w:t>jedincov v rámci celého ÚEV na zimoviskách), je potrebný monitoring stavu populácie druhu.</w:t>
            </w:r>
          </w:p>
        </w:tc>
      </w:tr>
      <w:tr w:rsidR="00B258A9" w:rsidRPr="00547B02" w:rsidTr="00E847DA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 xml:space="preserve">Rozloha potenciálneho potravného (lovného) biotopu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Brehové porasty v území – poskytujú lokality na rozmnožovanie, potravné biotopy a úkrytové biotopy – dosiahnutie starších porastov na danom území.</w:t>
            </w:r>
          </w:p>
        </w:tc>
      </w:tr>
    </w:tbl>
    <w:p w:rsidR="00B258A9" w:rsidRDefault="00B258A9" w:rsidP="00B258A9"/>
    <w:p w:rsidR="00B258A9" w:rsidRPr="00802A9C" w:rsidRDefault="00B258A9" w:rsidP="00B258A9">
      <w:pPr>
        <w:spacing w:line="240" w:lineRule="auto"/>
        <w:rPr>
          <w:color w:val="000000"/>
        </w:rPr>
      </w:pPr>
      <w:r>
        <w:rPr>
          <w:color w:val="000000"/>
        </w:rPr>
        <w:t xml:space="preserve">Zlepšenie stavu </w:t>
      </w:r>
      <w:r w:rsidRPr="00802A9C">
        <w:rPr>
          <w:color w:val="000000"/>
        </w:rPr>
        <w:t xml:space="preserve">druhu </w:t>
      </w:r>
      <w:proofErr w:type="spellStart"/>
      <w:r w:rsidRPr="00D86528">
        <w:rPr>
          <w:b/>
          <w:i/>
          <w:color w:val="000000"/>
        </w:rPr>
        <w:t>Myotis</w:t>
      </w:r>
      <w:proofErr w:type="spellEnd"/>
      <w:r w:rsidRPr="00D86528">
        <w:rPr>
          <w:b/>
          <w:i/>
          <w:color w:val="000000"/>
        </w:rPr>
        <w:t xml:space="preserve"> </w:t>
      </w:r>
      <w:proofErr w:type="spellStart"/>
      <w:r w:rsidRPr="00D86528">
        <w:rPr>
          <w:b/>
          <w:i/>
          <w:color w:val="000000"/>
        </w:rPr>
        <w:t>bechsteini</w:t>
      </w:r>
      <w:proofErr w:type="spellEnd"/>
      <w:r>
        <w:rPr>
          <w:b/>
          <w:i/>
          <w:color w:val="000000"/>
        </w:rPr>
        <w:t xml:space="preserve"> </w:t>
      </w:r>
      <w:r>
        <w:rPr>
          <w:color w:val="000000"/>
        </w:rPr>
        <w:t>za splnenia nasledovných atribútov.</w:t>
      </w:r>
    </w:p>
    <w:tbl>
      <w:tblPr>
        <w:tblW w:w="4849" w:type="pct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65"/>
        <w:gridCol w:w="1295"/>
        <w:gridCol w:w="2323"/>
        <w:gridCol w:w="3705"/>
      </w:tblGrid>
      <w:tr w:rsidR="00B258A9" w:rsidRPr="00547B02" w:rsidTr="00D86528">
        <w:trPr>
          <w:trHeight w:val="35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47B0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86528" w:rsidRPr="00547B02" w:rsidTr="00D86528">
        <w:trPr>
          <w:trHeight w:val="27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28" w:rsidRPr="00547B02" w:rsidRDefault="00D86528" w:rsidP="00D8652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28" w:rsidRPr="00547B02" w:rsidRDefault="00D86528" w:rsidP="00D8652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528" w:rsidRPr="00547B02" w:rsidRDefault="00D86528" w:rsidP="00D8652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5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28" w:rsidRPr="00547B02" w:rsidRDefault="00D86528" w:rsidP="00D86528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Odhaduje sa len náhodný výskyt (zaznamenanie do 5 jedincov v rámci celého ÚEV na zimoviskách), je potrebný monitoring stavu populácie druhu.</w:t>
            </w:r>
          </w:p>
        </w:tc>
      </w:tr>
      <w:tr w:rsidR="00B258A9" w:rsidRPr="00547B02" w:rsidTr="00D86528">
        <w:trPr>
          <w:trHeight w:val="93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sz w:val="18"/>
                <w:szCs w:val="18"/>
              </w:rPr>
            </w:pPr>
            <w:r w:rsidRPr="00547B02">
              <w:rPr>
                <w:sz w:val="18"/>
                <w:szCs w:val="18"/>
              </w:rPr>
              <w:t>V súčasnosti neevidujeme známe zimoviská uvedeného druhu.</w:t>
            </w:r>
          </w:p>
        </w:tc>
      </w:tr>
      <w:tr w:rsidR="00B258A9" w:rsidRPr="00547B02" w:rsidTr="00D86528">
        <w:trPr>
          <w:trHeight w:val="93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 xml:space="preserve">Rozloha potenciálneho potravného biotopu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B258A9" w:rsidRDefault="00B258A9" w:rsidP="00B258A9"/>
    <w:p w:rsidR="00B258A9" w:rsidRDefault="00D86528" w:rsidP="00B258A9">
      <w:pPr>
        <w:spacing w:line="240" w:lineRule="auto"/>
        <w:rPr>
          <w:color w:val="000000"/>
        </w:rPr>
      </w:pPr>
      <w:r>
        <w:rPr>
          <w:color w:val="000000"/>
        </w:rPr>
        <w:t xml:space="preserve">Zlepšenie </w:t>
      </w:r>
      <w:r w:rsidR="00B258A9">
        <w:rPr>
          <w:color w:val="000000"/>
        </w:rPr>
        <w:t xml:space="preserve">stavu druhu </w:t>
      </w:r>
      <w:proofErr w:type="spellStart"/>
      <w:r w:rsidR="00B258A9" w:rsidRPr="00D86528">
        <w:rPr>
          <w:b/>
          <w:i/>
          <w:color w:val="000000"/>
        </w:rPr>
        <w:t>Carabus</w:t>
      </w:r>
      <w:proofErr w:type="spellEnd"/>
      <w:r w:rsidR="00B258A9" w:rsidRPr="00D86528">
        <w:rPr>
          <w:b/>
          <w:i/>
          <w:color w:val="000000"/>
        </w:rPr>
        <w:t xml:space="preserve"> </w:t>
      </w:r>
      <w:proofErr w:type="spellStart"/>
      <w:r w:rsidR="00B258A9" w:rsidRPr="00D86528">
        <w:rPr>
          <w:b/>
          <w:i/>
          <w:color w:val="000000"/>
        </w:rPr>
        <w:t>variolosus</w:t>
      </w:r>
      <w:proofErr w:type="spellEnd"/>
      <w:r w:rsidR="00B258A9">
        <w:rPr>
          <w:b/>
          <w:i/>
          <w:color w:val="000000"/>
        </w:rPr>
        <w:t xml:space="preserve"> </w:t>
      </w:r>
      <w:r>
        <w:rPr>
          <w:color w:val="000000"/>
        </w:rPr>
        <w:t>za splnenia nasledovných atribútov:</w:t>
      </w:r>
      <w:r w:rsidR="00B258A9">
        <w:rPr>
          <w:color w:val="000000"/>
        </w:rPr>
        <w:t>:</w:t>
      </w:r>
    </w:p>
    <w:tbl>
      <w:tblPr>
        <w:tblW w:w="5007" w:type="pct"/>
        <w:tblInd w:w="-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521"/>
        <w:gridCol w:w="1645"/>
        <w:gridCol w:w="3566"/>
      </w:tblGrid>
      <w:tr w:rsidR="00D86528" w:rsidRPr="00D80300" w:rsidTr="00D86528">
        <w:trPr>
          <w:trHeight w:val="62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28" w:rsidRPr="00D86528" w:rsidRDefault="00D86528" w:rsidP="00E847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6528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28" w:rsidRPr="00D86528" w:rsidRDefault="00D86528" w:rsidP="00E847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6528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28" w:rsidRPr="00D86528" w:rsidRDefault="00D86528" w:rsidP="00E847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6528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528" w:rsidRPr="00D86528" w:rsidRDefault="00D86528" w:rsidP="00E847DA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6528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D86528" w:rsidRPr="00652926" w:rsidTr="00D86528">
        <w:trPr>
          <w:trHeight w:val="62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E847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E847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D8652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50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D8652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Zvýšená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.10 – 100 </w:t>
            </w:r>
            <w:r w:rsidRPr="00652926">
              <w:rPr>
                <w:rFonts w:eastAsia="Times New Roman"/>
                <w:sz w:val="20"/>
                <w:szCs w:val="20"/>
              </w:rPr>
              <w:t>jedincov (</w:t>
            </w:r>
            <w:r>
              <w:rPr>
                <w:rFonts w:eastAsia="Times New Roman"/>
                <w:sz w:val="20"/>
                <w:szCs w:val="20"/>
              </w:rPr>
              <w:t>údaj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z SDF)</w:t>
            </w:r>
          </w:p>
        </w:tc>
      </w:tr>
      <w:tr w:rsidR="00D86528" w:rsidRPr="0002150A" w:rsidTr="00D86528">
        <w:trPr>
          <w:trHeight w:val="93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28" w:rsidRPr="00652926" w:rsidRDefault="00D86528" w:rsidP="00D8652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D8652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547B02" w:rsidRDefault="00D86528" w:rsidP="00D8652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47B02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02150A" w:rsidRDefault="00D86528" w:rsidP="00D86528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2150A">
              <w:rPr>
                <w:sz w:val="20"/>
                <w:szCs w:val="20"/>
              </w:rPr>
              <w:t>zatienené biotopy pobrežných vôd so zachovalým porastom nízkej vegetácie</w:t>
            </w:r>
          </w:p>
        </w:tc>
      </w:tr>
      <w:tr w:rsidR="00D86528" w:rsidRPr="004D3C34" w:rsidTr="00D86528">
        <w:trPr>
          <w:trHeight w:val="62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E847D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E847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Percento (%) neovplyvnených pobrežných biotopov vodných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toko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28" w:rsidRPr="00652926" w:rsidRDefault="00D86528" w:rsidP="00E847D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Viac ako 80 %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28" w:rsidRPr="004D3C34" w:rsidRDefault="00D86528" w:rsidP="00E847D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Možná len </w:t>
            </w:r>
            <w:r w:rsidRPr="004D3C34">
              <w:rPr>
                <w:sz w:val="20"/>
                <w:szCs w:val="20"/>
              </w:rPr>
              <w:t xml:space="preserve">čiastočná prirodzená degradácia biotopu, ktorá však </w:t>
            </w:r>
            <w:r w:rsidRPr="004D3C34">
              <w:rPr>
                <w:spacing w:val="-2"/>
                <w:sz w:val="20"/>
                <w:szCs w:val="20"/>
              </w:rPr>
              <w:t>neve</w:t>
            </w:r>
            <w:r w:rsidRPr="004D3C34">
              <w:rPr>
                <w:spacing w:val="-2"/>
                <w:sz w:val="20"/>
                <w:szCs w:val="20"/>
              </w:rPr>
              <w:softHyphen/>
              <w:t>die k výraznejším zmenám</w:t>
            </w:r>
            <w:r w:rsidRPr="004D3C34">
              <w:rPr>
                <w:sz w:val="20"/>
                <w:szCs w:val="20"/>
              </w:rPr>
              <w:t xml:space="preserve"> v štruktúre vege</w:t>
            </w:r>
            <w:r w:rsidRPr="004D3C34">
              <w:rPr>
                <w:sz w:val="20"/>
                <w:szCs w:val="20"/>
              </w:rPr>
              <w:softHyphen/>
              <w:t xml:space="preserve">tácie a k úbytku vhodných </w:t>
            </w:r>
            <w:proofErr w:type="spellStart"/>
            <w:r w:rsidRPr="004D3C34">
              <w:rPr>
                <w:sz w:val="20"/>
                <w:szCs w:val="20"/>
              </w:rPr>
              <w:t>mikrobiotopov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258A9" w:rsidRDefault="00B258A9" w:rsidP="00B258A9">
      <w:pPr>
        <w:spacing w:line="240" w:lineRule="auto"/>
        <w:rPr>
          <w:color w:val="000000"/>
        </w:rPr>
      </w:pPr>
    </w:p>
    <w:p w:rsidR="00D86528" w:rsidRDefault="00D86528" w:rsidP="00B258A9">
      <w:pPr>
        <w:spacing w:line="240" w:lineRule="auto"/>
        <w:rPr>
          <w:color w:val="000000"/>
        </w:rPr>
      </w:pPr>
    </w:p>
    <w:p w:rsidR="00B258A9" w:rsidRPr="00626A09" w:rsidRDefault="00B258A9" w:rsidP="00B258A9">
      <w:pPr>
        <w:spacing w:line="240" w:lineRule="auto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D86528">
        <w:rPr>
          <w:rFonts w:eastAsia="Times New Roman"/>
          <w:b/>
          <w:i/>
          <w:color w:val="000000"/>
        </w:rPr>
        <w:t>Cerambyx</w:t>
      </w:r>
      <w:proofErr w:type="spellEnd"/>
      <w:r w:rsidRPr="00D86528">
        <w:rPr>
          <w:rFonts w:eastAsia="Times New Roman"/>
          <w:b/>
          <w:i/>
          <w:color w:val="000000"/>
        </w:rPr>
        <w:t xml:space="preserve"> </w:t>
      </w:r>
      <w:proofErr w:type="spellStart"/>
      <w:r w:rsidRPr="00D86528">
        <w:rPr>
          <w:rFonts w:eastAsia="Times New Roman"/>
          <w:b/>
          <w:i/>
          <w:color w:val="000000"/>
        </w:rPr>
        <w:t>cerdo</w:t>
      </w:r>
      <w:proofErr w:type="spellEnd"/>
      <w:r>
        <w:rPr>
          <w:rFonts w:eastAsia="Times New Roman"/>
          <w:b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4817" w:type="pct"/>
        <w:tblInd w:w="-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560"/>
        <w:gridCol w:w="1559"/>
        <w:gridCol w:w="3970"/>
      </w:tblGrid>
      <w:tr w:rsidR="00B258A9" w:rsidRPr="00547B02" w:rsidTr="00E847DA">
        <w:trPr>
          <w:trHeight w:val="62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258A9" w:rsidRPr="00547B02" w:rsidTr="00E847DA">
        <w:trPr>
          <w:trHeight w:val="62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Druhom obsadené stromy – počet stromov/ha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min. 1 strom/ha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Udržiavaná veľkosť populácie, v súčasnosti odhadovaná na  veľkosť populácie 100 – 1000 jedincov </w:t>
            </w:r>
          </w:p>
        </w:tc>
      </w:tr>
      <w:tr w:rsidR="00B258A9" w:rsidRPr="00547B02" w:rsidTr="00E847DA">
        <w:trPr>
          <w:trHeight w:val="93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rozloha biotopu výskytu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Vyžaduje staršie lesy </w:t>
            </w:r>
            <w:proofErr w:type="spellStart"/>
            <w:r w:rsidRPr="00547B02">
              <w:rPr>
                <w:rFonts w:eastAsia="Times New Roman"/>
                <w:color w:val="000000"/>
                <w:sz w:val="18"/>
                <w:szCs w:val="18"/>
              </w:rPr>
              <w:t>poloprírodného</w:t>
            </w:r>
            <w:proofErr w:type="spellEnd"/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 až </w:t>
            </w:r>
            <w:proofErr w:type="spellStart"/>
            <w:r w:rsidRPr="00547B02">
              <w:rPr>
                <w:rFonts w:eastAsia="Times New Roman"/>
                <w:color w:val="000000"/>
                <w:sz w:val="18"/>
                <w:szCs w:val="18"/>
              </w:rPr>
              <w:t>pralesovitého</w:t>
            </w:r>
            <w:proofErr w:type="spellEnd"/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 charakteru. Vyskytuje sa pod kôrou takmer všetkých našich pôvodných druhov drevín.</w:t>
            </w:r>
          </w:p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Potrebné dosiahnuť zastúpenie starších porastov na väčšine územia.</w:t>
            </w:r>
          </w:p>
        </w:tc>
      </w:tr>
      <w:tr w:rsidR="00B258A9" w:rsidRPr="00547B02" w:rsidTr="00E847DA">
        <w:trPr>
          <w:trHeight w:val="62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 xml:space="preserve">Kvalita biotopu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Počet ponechaných starších jedincov drevín nad 80 rokov/ha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A9" w:rsidRPr="00547B02" w:rsidRDefault="00B258A9" w:rsidP="00E847D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min. 20 stromov/ha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9" w:rsidRPr="00547B02" w:rsidRDefault="00B258A9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47B02">
              <w:rPr>
                <w:rFonts w:eastAsia="Times New Roman"/>
                <w:color w:val="000000"/>
                <w:sz w:val="18"/>
                <w:szCs w:val="18"/>
              </w:rPr>
              <w:t>Dosiahnuť považovaný počet starších stromov na ha.</w:t>
            </w:r>
          </w:p>
        </w:tc>
      </w:tr>
    </w:tbl>
    <w:p w:rsidR="00B258A9" w:rsidRDefault="00B258A9" w:rsidP="00B258A9">
      <w:pPr>
        <w:spacing w:line="240" w:lineRule="auto"/>
        <w:rPr>
          <w:color w:val="000000"/>
        </w:rPr>
      </w:pPr>
    </w:p>
    <w:p w:rsidR="00B258A9" w:rsidRPr="00547B02" w:rsidRDefault="00B258A9" w:rsidP="00B258A9">
      <w:pPr>
        <w:pStyle w:val="Zkladntext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547B02">
        <w:rPr>
          <w:rFonts w:ascii="Times New Roman" w:hAnsi="Times New Roman"/>
          <w:sz w:val="24"/>
          <w:szCs w:val="24"/>
        </w:rPr>
        <w:t xml:space="preserve">Zlepšenie stavu druhu </w:t>
      </w:r>
      <w:proofErr w:type="spellStart"/>
      <w:r w:rsidRPr="00D86528">
        <w:rPr>
          <w:rFonts w:ascii="Times New Roman" w:hAnsi="Times New Roman"/>
          <w:b/>
          <w:i/>
          <w:sz w:val="24"/>
          <w:szCs w:val="24"/>
        </w:rPr>
        <w:t>Canis</w:t>
      </w:r>
      <w:proofErr w:type="spellEnd"/>
      <w:r w:rsidRPr="00D8652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6528">
        <w:rPr>
          <w:rFonts w:ascii="Times New Roman" w:hAnsi="Times New Roman"/>
          <w:b/>
          <w:i/>
          <w:sz w:val="24"/>
          <w:szCs w:val="24"/>
        </w:rPr>
        <w:t>lupus</w:t>
      </w:r>
      <w:proofErr w:type="spellEnd"/>
      <w:r w:rsidRPr="00547B02">
        <w:rPr>
          <w:rFonts w:ascii="Times New Roman" w:hAnsi="Times New Roman"/>
          <w:i/>
          <w:sz w:val="24"/>
          <w:szCs w:val="24"/>
        </w:rPr>
        <w:t xml:space="preserve"> </w:t>
      </w:r>
      <w:r w:rsidRPr="00547B02">
        <w:rPr>
          <w:rFonts w:ascii="Times New Roman" w:hAnsi="Times New Roman"/>
          <w:sz w:val="24"/>
          <w:szCs w:val="24"/>
        </w:rPr>
        <w:t xml:space="preserve">za splnenia nasledovných atribútov:   </w:t>
      </w:r>
      <w:r w:rsidRPr="00547B02">
        <w:rPr>
          <w:rFonts w:ascii="Times New Roman" w:hAnsi="Times New Roman"/>
          <w:i/>
          <w:sz w:val="24"/>
          <w:szCs w:val="24"/>
        </w:rPr>
        <w:t xml:space="preserve">  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2207"/>
        <w:gridCol w:w="2835"/>
      </w:tblGrid>
      <w:tr w:rsidR="00B258A9" w:rsidRPr="000362A0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F91651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Doplňujúce informácie</w:t>
            </w:r>
          </w:p>
        </w:tc>
      </w:tr>
      <w:tr w:rsidR="00B258A9" w:rsidRPr="000362A0" w:rsidTr="00E847DA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362A0">
              <w:rPr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F91651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Min. 6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Odhadnutý p</w:t>
            </w:r>
            <w:r w:rsidR="00F91651">
              <w:rPr>
                <w:sz w:val="18"/>
                <w:szCs w:val="18"/>
              </w:rPr>
              <w:t>očet jedincov v súčasnosti 1 - 5</w:t>
            </w:r>
            <w:r>
              <w:rPr>
                <w:sz w:val="18"/>
                <w:szCs w:val="18"/>
              </w:rPr>
              <w:t>, potrebné zvýšenie početnosti populácie</w:t>
            </w:r>
          </w:p>
        </w:tc>
      </w:tr>
      <w:tr w:rsidR="00B258A9" w:rsidRPr="000362A0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0362A0">
              <w:rPr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6E2639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"/>
              </w:rPr>
            </w:pPr>
            <w:r w:rsidRPr="006E2639">
              <w:rPr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6E2639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6E2639">
              <w:rPr>
                <w:sz w:val="18"/>
                <w:szCs w:val="18"/>
              </w:rPr>
              <w:t xml:space="preserve"> 45 892 ha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0362A0">
              <w:rPr>
                <w:sz w:val="18"/>
                <w:szCs w:val="18"/>
              </w:rPr>
              <w:t xml:space="preserve">Výmera potenciálneho biotopu je určená na </w:t>
            </w:r>
            <w:r>
              <w:rPr>
                <w:sz w:val="18"/>
                <w:szCs w:val="18"/>
              </w:rPr>
              <w:t>celé územie ÚEV</w:t>
            </w:r>
            <w:r w:rsidRPr="000362A0">
              <w:rPr>
                <w:sz w:val="18"/>
                <w:szCs w:val="18"/>
              </w:rPr>
              <w:t xml:space="preserve">. </w:t>
            </w:r>
          </w:p>
        </w:tc>
      </w:tr>
      <w:tr w:rsidR="00B258A9" w:rsidRPr="000362A0" w:rsidTr="00E847DA">
        <w:trPr>
          <w:trHeight w:val="21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2104EF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362A0">
              <w:rPr>
                <w:sz w:val="18"/>
                <w:szCs w:val="18"/>
              </w:rPr>
              <w:t xml:space="preserve">Podiel </w:t>
            </w:r>
            <w:r>
              <w:rPr>
                <w:sz w:val="18"/>
                <w:szCs w:val="18"/>
              </w:rPr>
              <w:t>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362A0">
              <w:rPr>
                <w:sz w:val="18"/>
                <w:szCs w:val="18"/>
              </w:rPr>
              <w:t xml:space="preserve">Minimálny podiel 70% </w:t>
            </w:r>
          </w:p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  <w:lang w:val="en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362A0">
              <w:rPr>
                <w:sz w:val="18"/>
                <w:szCs w:val="18"/>
              </w:rPr>
              <w:t>Lesy dôleži</w:t>
            </w:r>
            <w:r>
              <w:rPr>
                <w:sz w:val="18"/>
                <w:szCs w:val="18"/>
              </w:rPr>
              <w:t>té pre trvalú existenciu druhu.</w:t>
            </w:r>
          </w:p>
        </w:tc>
      </w:tr>
      <w:tr w:rsidR="00B258A9" w:rsidRPr="000362A0" w:rsidTr="00E847DA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Zachované migračné koridory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Umožnené prepojenie populácií s UEV Morské oko a UEV Bukovské vrchy</w:t>
            </w:r>
          </w:p>
        </w:tc>
      </w:tr>
    </w:tbl>
    <w:p w:rsidR="00B258A9" w:rsidRDefault="00B258A9" w:rsidP="00B258A9">
      <w:pPr>
        <w:pStyle w:val="Zkladntext"/>
        <w:widowControl w:val="0"/>
        <w:jc w:val="both"/>
        <w:rPr>
          <w:b/>
          <w:i/>
        </w:rPr>
      </w:pPr>
    </w:p>
    <w:p w:rsidR="00B258A9" w:rsidRPr="00547B02" w:rsidRDefault="00B258A9" w:rsidP="00B258A9">
      <w:pPr>
        <w:pStyle w:val="Zkladntext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547B02">
        <w:rPr>
          <w:rFonts w:ascii="Times New Roman" w:hAnsi="Times New Roman"/>
          <w:sz w:val="24"/>
          <w:szCs w:val="24"/>
        </w:rPr>
        <w:t xml:space="preserve">Zlepšenie stavu </w:t>
      </w:r>
      <w:r w:rsidRPr="00F91651">
        <w:rPr>
          <w:rFonts w:ascii="Times New Roman" w:hAnsi="Times New Roman"/>
          <w:b/>
          <w:sz w:val="24"/>
          <w:szCs w:val="24"/>
        </w:rPr>
        <w:t xml:space="preserve">druhu </w:t>
      </w:r>
      <w:proofErr w:type="spellStart"/>
      <w:r w:rsidRPr="00F91651">
        <w:rPr>
          <w:rFonts w:ascii="Times New Roman" w:hAnsi="Times New Roman"/>
          <w:b/>
          <w:i/>
          <w:sz w:val="24"/>
          <w:szCs w:val="24"/>
        </w:rPr>
        <w:t>Lynx</w:t>
      </w:r>
      <w:proofErr w:type="spellEnd"/>
      <w:r w:rsidRPr="00F916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91651">
        <w:rPr>
          <w:rFonts w:ascii="Times New Roman" w:hAnsi="Times New Roman"/>
          <w:b/>
          <w:i/>
          <w:sz w:val="24"/>
          <w:szCs w:val="24"/>
        </w:rPr>
        <w:t>lynx</w:t>
      </w:r>
      <w:proofErr w:type="spellEnd"/>
      <w:r w:rsidRPr="00547B02">
        <w:rPr>
          <w:rFonts w:ascii="Times New Roman" w:hAnsi="Times New Roman"/>
          <w:i/>
          <w:sz w:val="24"/>
          <w:szCs w:val="24"/>
        </w:rPr>
        <w:t xml:space="preserve"> </w:t>
      </w:r>
      <w:r w:rsidRPr="00547B02">
        <w:rPr>
          <w:rFonts w:ascii="Times New Roman" w:hAnsi="Times New Roman"/>
          <w:sz w:val="24"/>
          <w:szCs w:val="24"/>
        </w:rPr>
        <w:t xml:space="preserve">za splnenia nasledovných atribútov:   </w:t>
      </w:r>
      <w:r w:rsidRPr="00547B02">
        <w:rPr>
          <w:rFonts w:ascii="Times New Roman" w:hAnsi="Times New Roman"/>
          <w:i/>
          <w:sz w:val="24"/>
          <w:szCs w:val="24"/>
        </w:rPr>
        <w:t xml:space="preserve">  </w:t>
      </w:r>
    </w:p>
    <w:tbl>
      <w:tblPr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337"/>
        <w:gridCol w:w="2207"/>
        <w:gridCol w:w="2835"/>
      </w:tblGrid>
      <w:tr w:rsidR="00B258A9" w:rsidRPr="000362A0" w:rsidTr="00E847DA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F91651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2A0">
              <w:rPr>
                <w:b/>
                <w:sz w:val="18"/>
                <w:szCs w:val="18"/>
              </w:rPr>
              <w:t>Doplňujúce informácie</w:t>
            </w:r>
          </w:p>
        </w:tc>
      </w:tr>
      <w:tr w:rsidR="00B258A9" w:rsidRPr="000362A0" w:rsidTr="00E847DA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362A0">
              <w:rPr>
                <w:sz w:val="18"/>
                <w:szCs w:val="18"/>
              </w:rPr>
              <w:t>Počet rezidentných jedincov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F91651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Minimálny počet 2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F9165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Odhadnutý počet jedincov v súčasnosti </w:t>
            </w:r>
            <w:r w:rsidR="00F91651">
              <w:rPr>
                <w:sz w:val="18"/>
                <w:szCs w:val="18"/>
              </w:rPr>
              <w:t>náhodný – 1 jedinec</w:t>
            </w:r>
            <w:r>
              <w:rPr>
                <w:sz w:val="18"/>
                <w:szCs w:val="18"/>
              </w:rPr>
              <w:t>, potrebné zvýšenie početnosti populácie</w:t>
            </w:r>
          </w:p>
        </w:tc>
      </w:tr>
      <w:tr w:rsidR="00B258A9" w:rsidRPr="000362A0" w:rsidTr="00E847DA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0362A0">
              <w:rPr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"/>
              </w:rPr>
            </w:pPr>
            <w:r w:rsidRPr="000362A0">
              <w:rPr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0362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0362A0">
              <w:rPr>
                <w:sz w:val="18"/>
                <w:szCs w:val="18"/>
              </w:rPr>
              <w:t xml:space="preserve">Výmera potenciálneho biotopu je </w:t>
            </w:r>
            <w:r>
              <w:rPr>
                <w:sz w:val="18"/>
                <w:szCs w:val="18"/>
              </w:rPr>
              <w:t>stanovená v starších lesoch, nie v holinách a monokultúrnych porastoch.</w:t>
            </w:r>
            <w:r w:rsidRPr="000362A0">
              <w:rPr>
                <w:sz w:val="18"/>
                <w:szCs w:val="18"/>
              </w:rPr>
              <w:t xml:space="preserve"> </w:t>
            </w:r>
          </w:p>
        </w:tc>
      </w:tr>
      <w:tr w:rsidR="00B258A9" w:rsidRPr="000362A0" w:rsidTr="00E847DA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Prepojenosť populácií (migrácia)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Zachované migračné koridory 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8A9" w:rsidRPr="000362A0" w:rsidRDefault="00B258A9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Umožnené prepojenie populácií s UEV Morské oko a UEV Bukovské vrchy</w:t>
            </w:r>
          </w:p>
        </w:tc>
      </w:tr>
    </w:tbl>
    <w:p w:rsidR="00B258A9" w:rsidRDefault="00B258A9" w:rsidP="00B258A9">
      <w:pPr>
        <w:pStyle w:val="Zkladntext"/>
        <w:widowControl w:val="0"/>
        <w:jc w:val="both"/>
        <w:rPr>
          <w:b/>
        </w:rPr>
      </w:pP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A9"/>
    <w:rsid w:val="00250D08"/>
    <w:rsid w:val="004F7434"/>
    <w:rsid w:val="00530454"/>
    <w:rsid w:val="00726F3F"/>
    <w:rsid w:val="007C3C95"/>
    <w:rsid w:val="00B258A9"/>
    <w:rsid w:val="00D86528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085A"/>
  <w15:chartTrackingRefBased/>
  <w15:docId w15:val="{E96960D0-1EE3-43E2-990E-4CD2E46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8A9"/>
    <w:pPr>
      <w:spacing w:after="120"/>
      <w:jc w:val="both"/>
    </w:pPr>
    <w:rPr>
      <w:rFonts w:ascii="Times New Roman" w:eastAsia="Calibri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258A9"/>
    <w:pPr>
      <w:spacing w:line="276" w:lineRule="auto"/>
      <w:jc w:val="left"/>
    </w:pPr>
    <w:rPr>
      <w:rFonts w:ascii="Calibri" w:hAnsi="Calibri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qFormat/>
    <w:rsid w:val="00B258A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54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2024-06-11T08:11:00Z</dcterms:created>
  <dcterms:modified xsi:type="dcterms:W3CDTF">2024-06-11T08:11:00Z</dcterms:modified>
</cp:coreProperties>
</file>