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0608BBEF" w:rsidR="000E05DA" w:rsidRDefault="000E05DA" w:rsidP="000E05DA">
      <w:pPr>
        <w:spacing w:line="240" w:lineRule="auto"/>
        <w:ind w:left="360"/>
        <w:jc w:val="both"/>
      </w:pPr>
      <w:r>
        <w:rPr>
          <w:b/>
          <w:sz w:val="28"/>
          <w:szCs w:val="28"/>
          <w:lang w:eastAsia="cs-CZ"/>
        </w:rPr>
        <w:t>SKUEV03</w:t>
      </w:r>
      <w:r w:rsidR="000560C8">
        <w:rPr>
          <w:b/>
          <w:sz w:val="28"/>
          <w:szCs w:val="28"/>
          <w:lang w:eastAsia="cs-CZ"/>
        </w:rPr>
        <w:t>7</w:t>
      </w:r>
      <w:r w:rsidR="0027081D">
        <w:rPr>
          <w:b/>
          <w:sz w:val="28"/>
          <w:szCs w:val="28"/>
          <w:lang w:eastAsia="cs-CZ"/>
        </w:rPr>
        <w:t>2</w:t>
      </w:r>
      <w:r>
        <w:rPr>
          <w:b/>
          <w:sz w:val="28"/>
          <w:szCs w:val="28"/>
          <w:lang w:eastAsia="cs-CZ"/>
        </w:rPr>
        <w:t xml:space="preserve"> </w:t>
      </w:r>
      <w:r w:rsidR="0027081D">
        <w:rPr>
          <w:b/>
          <w:sz w:val="28"/>
          <w:szCs w:val="28"/>
          <w:lang w:eastAsia="cs-CZ"/>
        </w:rPr>
        <w:t>Krivoklátske lúky</w:t>
      </w:r>
    </w:p>
    <w:p w14:paraId="6DE8C982" w14:textId="181E7A0C" w:rsidR="00D76319" w:rsidRDefault="00D76319" w:rsidP="000560C8">
      <w:pPr>
        <w:pStyle w:val="Zkladntext"/>
        <w:widowControl w:val="0"/>
        <w:jc w:val="both"/>
        <w:rPr>
          <w:b/>
          <w:lang w:val="sk-SK"/>
        </w:rPr>
      </w:pPr>
      <w:r w:rsidRPr="00D76319">
        <w:rPr>
          <w:b/>
        </w:rPr>
        <w:t>Ciele ochrany</w:t>
      </w:r>
      <w:r w:rsidRPr="00D76319">
        <w:rPr>
          <w:b/>
          <w:lang w:val="sk-SK"/>
        </w:rPr>
        <w:t>:</w:t>
      </w:r>
    </w:p>
    <w:p w14:paraId="53AF56DE" w14:textId="63ADC23D" w:rsidR="000E05DA" w:rsidRPr="00626A09" w:rsidRDefault="002817B8" w:rsidP="00E902BF">
      <w:pPr>
        <w:pStyle w:val="Zkladntext"/>
        <w:widowControl w:val="0"/>
        <w:jc w:val="both"/>
      </w:pPr>
      <w:r>
        <w:rPr>
          <w:lang w:val="sk-SK"/>
        </w:rPr>
        <w:t>Zachovanie</w:t>
      </w:r>
      <w:r w:rsidR="000E05DA">
        <w:rPr>
          <w:lang w:val="sk-SK"/>
        </w:rPr>
        <w:t xml:space="preserve"> stav</w:t>
      </w:r>
      <w:r>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3560D7F4" w:rsidR="000E05DA" w:rsidRPr="003509FA" w:rsidRDefault="00E902BF" w:rsidP="000560C8">
            <w:pPr>
              <w:spacing w:after="0" w:line="240" w:lineRule="auto"/>
              <w:jc w:val="center"/>
              <w:rPr>
                <w:rFonts w:eastAsia="Times New Roman"/>
                <w:sz w:val="18"/>
                <w:szCs w:val="18"/>
              </w:rPr>
            </w:pPr>
            <w:r>
              <w:rPr>
                <w:rFonts w:eastAsia="Times New Roman"/>
                <w:sz w:val="18"/>
                <w:szCs w:val="18"/>
              </w:rPr>
              <w:t>1,2</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0F9DE05F" w:rsidR="000E05DA" w:rsidRPr="003509FA" w:rsidRDefault="000E05DA" w:rsidP="000560C8">
            <w:pPr>
              <w:spacing w:after="0" w:line="240" w:lineRule="auto"/>
              <w:rPr>
                <w:rFonts w:eastAsia="Times New Roman"/>
                <w:sz w:val="18"/>
                <w:szCs w:val="18"/>
              </w:rPr>
            </w:pPr>
            <w:r w:rsidRPr="003509FA">
              <w:rPr>
                <w:rFonts w:eastAsia="Times New Roman"/>
                <w:sz w:val="18"/>
                <w:szCs w:val="18"/>
              </w:rPr>
              <w:t>počet druhov/</w:t>
            </w:r>
            <w:r w:rsidR="00252F1F">
              <w:rPr>
                <w:rFonts w:eastAsia="Times New Roman"/>
                <w:sz w:val="18"/>
                <w:szCs w:val="18"/>
              </w:rPr>
              <w:t>16</w:t>
            </w:r>
            <w:r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0E05DA"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11DA625D" w:rsidR="000E05DA" w:rsidRPr="003509FA" w:rsidRDefault="00252F1F" w:rsidP="000560C8">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6492A01A" w14:textId="68E03D3E" w:rsidR="00F436A8" w:rsidRPr="00911FBF" w:rsidRDefault="002817B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024CD07D" w:rsidR="00F436A8" w:rsidRPr="00B6615B" w:rsidRDefault="00E902BF" w:rsidP="00C9571F">
            <w:pPr>
              <w:jc w:val="center"/>
              <w:rPr>
                <w:rFonts w:eastAsia="Times New Roman"/>
                <w:sz w:val="20"/>
                <w:szCs w:val="20"/>
              </w:rPr>
            </w:pPr>
            <w:r>
              <w:rPr>
                <w:rFonts w:eastAsia="Times New Roman"/>
                <w:sz w:val="20"/>
                <w:szCs w:val="20"/>
              </w:rPr>
              <w:t>0,5</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w:t>
            </w:r>
            <w:r w:rsidRPr="00B6615B">
              <w:rPr>
                <w:rFonts w:eastAsia="Times New Roman"/>
                <w:i/>
                <w:sz w:val="20"/>
                <w:szCs w:val="20"/>
              </w:rPr>
              <w:lastRenderedPageBreak/>
              <w:t>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728A35AE" w14:textId="511B75FA" w:rsidR="00EC67A6" w:rsidRDefault="00E902BF"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sidRPr="007657C5">
        <w:rPr>
          <w:b/>
          <w:color w:val="000000"/>
          <w:szCs w:val="24"/>
        </w:rPr>
        <w:t>Lk5 (6430) Vysokobylinné spoločenstvá na vlhkých lúkach</w:t>
      </w:r>
      <w:r w:rsidR="00EC67A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08186410" w:rsidR="00EC67A6" w:rsidRPr="00775056" w:rsidRDefault="00E902BF" w:rsidP="00C9571F">
            <w:pPr>
              <w:spacing w:line="240" w:lineRule="auto"/>
              <w:jc w:val="center"/>
              <w:rPr>
                <w:rFonts w:eastAsia="Times New Roman"/>
                <w:color w:val="000000"/>
                <w:sz w:val="20"/>
                <w:szCs w:val="20"/>
              </w:rPr>
            </w:pPr>
            <w:r>
              <w:rPr>
                <w:rFonts w:eastAsia="Times New Roman"/>
                <w:color w:val="000000"/>
                <w:sz w:val="20"/>
                <w:szCs w:val="20"/>
              </w:rPr>
              <w:t>0,0</w:t>
            </w:r>
            <w:r w:rsidR="002817B8">
              <w:rPr>
                <w:rFonts w:eastAsia="Times New Roman"/>
                <w:color w:val="000000"/>
                <w:sz w:val="20"/>
                <w:szCs w:val="20"/>
              </w:rPr>
              <w:t>8</w:t>
            </w:r>
            <w:r>
              <w:rPr>
                <w:rFonts w:eastAsia="Times New Roman"/>
                <w:color w:val="000000"/>
                <w:sz w:val="20"/>
                <w:szCs w:val="20"/>
              </w:rPr>
              <w:t>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31D9B875" w:rsidR="00EC67A6" w:rsidRPr="00775056" w:rsidRDefault="00252F1F"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313E8F29" w14:textId="77777777" w:rsidR="00EC67A6" w:rsidRDefault="00EC67A6" w:rsidP="00EC67A6">
      <w:pPr>
        <w:spacing w:line="240" w:lineRule="auto"/>
        <w:rPr>
          <w:color w:val="000000"/>
          <w:szCs w:val="24"/>
        </w:rPr>
      </w:pPr>
    </w:p>
    <w:p w14:paraId="4806DFC0" w14:textId="22DABF99" w:rsidR="00EC67A6" w:rsidRDefault="00E902BF"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7D5933C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7D5933C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11176DB6" w:rsidR="00EC67A6" w:rsidRPr="00775056" w:rsidRDefault="00E902BF" w:rsidP="00C9571F">
            <w:pPr>
              <w:spacing w:line="240" w:lineRule="auto"/>
              <w:jc w:val="center"/>
              <w:rPr>
                <w:rFonts w:eastAsia="Times New Roman"/>
                <w:color w:val="000000"/>
                <w:sz w:val="20"/>
                <w:szCs w:val="20"/>
              </w:rPr>
            </w:pPr>
            <w:r>
              <w:rPr>
                <w:rFonts w:eastAsia="Times New Roman"/>
                <w:color w:val="000000"/>
                <w:sz w:val="20"/>
                <w:szCs w:val="20"/>
              </w:rPr>
              <w:t>0,05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7D5933CA">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728720B1" w:rsidR="00EC67A6" w:rsidRPr="00775056" w:rsidRDefault="00EC67A6" w:rsidP="002817B8">
            <w:pPr>
              <w:spacing w:line="240" w:lineRule="auto"/>
              <w:rPr>
                <w:rFonts w:eastAsia="Times New Roman"/>
                <w:color w:val="000000"/>
                <w:sz w:val="20"/>
                <w:szCs w:val="20"/>
              </w:rPr>
            </w:pPr>
            <w:r w:rsidRPr="00775056">
              <w:rPr>
                <w:rFonts w:eastAsia="Times New Roman"/>
                <w:color w:val="000000"/>
                <w:sz w:val="20"/>
                <w:szCs w:val="20"/>
              </w:rPr>
              <w:t xml:space="preserve">počet </w:t>
            </w:r>
            <w:r w:rsidR="002817B8">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35F3E4B5" w:rsidR="00EC67A6" w:rsidRDefault="00EC67A6" w:rsidP="7D5933CA">
            <w:pPr>
              <w:spacing w:line="240" w:lineRule="auto"/>
              <w:rPr>
                <w:rFonts w:eastAsia="Times New Roman"/>
                <w:i/>
                <w:iCs/>
                <w:color w:val="000000"/>
                <w:sz w:val="20"/>
                <w:szCs w:val="20"/>
              </w:rPr>
            </w:pPr>
            <w:r w:rsidRPr="7D5933CA">
              <w:rPr>
                <w:rFonts w:eastAsia="Times New Roman"/>
                <w:color w:val="000000" w:themeColor="text1"/>
                <w:sz w:val="20"/>
                <w:szCs w:val="20"/>
              </w:rPr>
              <w:t xml:space="preserve">Charakteristické/typické druhové zloženie: </w:t>
            </w:r>
            <w:r w:rsidRPr="7D5933CA">
              <w:rPr>
                <w:rFonts w:eastAsia="Times New Roman"/>
                <w:i/>
                <w:iCs/>
                <w:color w:val="000000" w:themeColor="text1"/>
                <w:sz w:val="20"/>
                <w:szCs w:val="20"/>
              </w:rPr>
              <w:t>Blysmu</w:t>
            </w:r>
            <w:r w:rsidR="00252F1F">
              <w:rPr>
                <w:rFonts w:eastAsia="Times New Roman"/>
                <w:i/>
                <w:iCs/>
                <w:color w:val="000000" w:themeColor="text1"/>
                <w:sz w:val="20"/>
                <w:szCs w:val="20"/>
              </w:rPr>
              <w:t>s compressus, Carex davalliana,</w:t>
            </w:r>
            <w:r w:rsidRPr="7D5933CA">
              <w:rPr>
                <w:rFonts w:eastAsia="Times New Roman"/>
                <w:i/>
                <w:iCs/>
                <w:color w:val="000000" w:themeColor="text1"/>
                <w:sz w:val="20"/>
                <w:szCs w:val="20"/>
              </w:rPr>
              <w:t xml:space="preserve"> Carex lepidocarpa, Carex flava, Dactylorhiza incarnata, Dactylorhiza majalis, Eleocharis quinqueflora, Epipactis palustris, Eriophorum angustifolium, Eriophorum latifolium, Gymnadenia densiflora, , Parnassia palustris,</w:t>
            </w:r>
            <w:r w:rsidRPr="7D5933CA">
              <w:rPr>
                <w:rFonts w:eastAsia="Times New Roman"/>
                <w:color w:val="000000" w:themeColor="text1"/>
                <w:sz w:val="20"/>
                <w:szCs w:val="20"/>
              </w:rPr>
              <w:t xml:space="preserve"> </w:t>
            </w:r>
            <w:r w:rsidRPr="7D5933CA">
              <w:rPr>
                <w:rFonts w:eastAsia="Times New Roman"/>
                <w:i/>
                <w:iCs/>
                <w:color w:val="000000" w:themeColor="text1"/>
                <w:sz w:val="20"/>
                <w:szCs w:val="20"/>
              </w:rPr>
              <w:t xml:space="preserve"> Caltha palustris, , Succisa pratensis, Triglochin palustre, Valeriana dioica, Vaeriana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7D5933CA">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7D5933CA">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7D5933CA">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F436A8">
      <w:pPr>
        <w:rPr>
          <w:color w:val="000000"/>
          <w:szCs w:val="24"/>
        </w:rPr>
      </w:pPr>
    </w:p>
    <w:p w14:paraId="639E032B" w14:textId="77777777" w:rsidR="00EC67A6" w:rsidRDefault="00D76319"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7D5933C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7D5933C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2363AEAD" w:rsidR="00EC67A6" w:rsidRPr="00775056" w:rsidRDefault="002817B8" w:rsidP="00E902BF">
            <w:pPr>
              <w:spacing w:line="240" w:lineRule="auto"/>
              <w:jc w:val="center"/>
              <w:rPr>
                <w:rFonts w:eastAsia="Times New Roman"/>
                <w:color w:val="000000"/>
                <w:sz w:val="20"/>
                <w:szCs w:val="20"/>
              </w:rPr>
            </w:pPr>
            <w:r>
              <w:rPr>
                <w:rFonts w:eastAsia="Times New Roman"/>
                <w:color w:val="000000"/>
                <w:sz w:val="20"/>
                <w:szCs w:val="20"/>
              </w:rPr>
              <w:t>0,0</w:t>
            </w:r>
            <w:r w:rsidR="00E902BF">
              <w:rPr>
                <w:rFonts w:eastAsia="Times New Roman"/>
                <w:color w:val="000000"/>
                <w:sz w:val="20"/>
                <w:szCs w:val="20"/>
              </w:rPr>
              <w:t>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6ECBC0EE" w14:textId="77777777" w:rsidTr="7D5933CA">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63803705" w:rsidR="00EC67A6" w:rsidRPr="00775056" w:rsidRDefault="002817B8"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6E39EE62" w:rsidR="00EC67A6" w:rsidRDefault="00EC67A6" w:rsidP="7D5933CA">
            <w:pPr>
              <w:spacing w:line="240" w:lineRule="auto"/>
              <w:rPr>
                <w:rFonts w:eastAsia="Times New Roman"/>
                <w:i/>
                <w:iCs/>
                <w:color w:val="000000"/>
                <w:sz w:val="20"/>
                <w:szCs w:val="20"/>
              </w:rPr>
            </w:pPr>
            <w:r w:rsidRPr="7D5933CA">
              <w:rPr>
                <w:rFonts w:eastAsia="Times New Roman"/>
                <w:color w:val="000000" w:themeColor="text1"/>
                <w:sz w:val="20"/>
                <w:szCs w:val="20"/>
              </w:rPr>
              <w:t xml:space="preserve">Charakteristické/typické druhové </w:t>
            </w:r>
            <w:r w:rsidRPr="7D5933CA">
              <w:rPr>
                <w:rFonts w:eastAsia="Times New Roman"/>
                <w:color w:val="000000" w:themeColor="text1"/>
                <w:sz w:val="20"/>
                <w:szCs w:val="20"/>
              </w:rPr>
              <w:t xml:space="preserve">zloženie: </w:t>
            </w:r>
            <w:r w:rsidRPr="7D5933CA">
              <w:rPr>
                <w:rFonts w:eastAsia="Times New Roman"/>
                <w:i/>
                <w:iCs/>
                <w:color w:val="000000" w:themeColor="text1"/>
                <w:sz w:val="20"/>
                <w:szCs w:val="20"/>
              </w:rPr>
              <w:t xml:space="preserve"> Blysmus compressus, Carex brachystachys, Carex flacca, Carex lepidocarpa, Chrysosplenium alternifolium, , Epipactis palustris, Eupatorium cannabinum, Parnassia palustris,</w:t>
            </w:r>
            <w:r w:rsidRPr="7D5933CA">
              <w:rPr>
                <w:rFonts w:eastAsia="Times New Roman"/>
                <w:color w:val="000000" w:themeColor="text1"/>
                <w:sz w:val="20"/>
                <w:szCs w:val="20"/>
              </w:rPr>
              <w:t xml:space="preserve"> </w:t>
            </w:r>
            <w:r w:rsidRPr="7D5933CA">
              <w:rPr>
                <w:rFonts w:eastAsia="Times New Roman"/>
                <w:i/>
                <w:iCs/>
                <w:color w:val="000000" w:themeColor="text1"/>
                <w:sz w:val="20"/>
                <w:szCs w:val="20"/>
              </w:rPr>
              <w:t xml:space="preserve">, Scrophularia umbrosa, Triglochin palustre, </w:t>
            </w:r>
          </w:p>
          <w:p w14:paraId="58BD3CA1"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w:t>
            </w:r>
            <w:r>
              <w:rPr>
                <w:rFonts w:eastAsia="Times New Roman"/>
                <w:i/>
                <w:color w:val="000000"/>
                <w:sz w:val="20"/>
                <w:szCs w:val="20"/>
              </w:rPr>
              <w:t xml:space="preserve">, Palustriella commutata, Philonotis calcarea, </w:t>
            </w:r>
          </w:p>
        </w:tc>
      </w:tr>
      <w:tr w:rsidR="00EC67A6" w:rsidRPr="0000010E" w14:paraId="60960FE9" w14:textId="77777777" w:rsidTr="7D5933CA">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EC67A6" w:rsidRPr="0000010E" w14:paraId="102EF63A" w14:textId="77777777" w:rsidTr="7D5933CA">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77777777" w:rsidR="00EC67A6" w:rsidRPr="00775056" w:rsidRDefault="00EC67A6" w:rsidP="00C9571F">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673F89C8" w14:textId="4230F39F" w:rsidR="00F436A8" w:rsidRDefault="00F436A8" w:rsidP="000E05DA">
      <w:pPr>
        <w:pStyle w:val="Zkladntext"/>
        <w:widowControl w:val="0"/>
        <w:ind w:left="360"/>
        <w:jc w:val="both"/>
        <w:rPr>
          <w:lang w:val="sk-SK"/>
        </w:rPr>
      </w:pPr>
    </w:p>
    <w:p w14:paraId="4CBB5571" w14:textId="4A1B055A" w:rsidR="00E902BF" w:rsidRPr="009638FB" w:rsidRDefault="00E902BF" w:rsidP="00E902BF">
      <w:pPr>
        <w:spacing w:line="240" w:lineRule="auto"/>
        <w:jc w:val="both"/>
        <w:rPr>
          <w:color w:val="000000"/>
        </w:rPr>
      </w:pPr>
      <w:r>
        <w:rPr>
          <w:color w:val="000000"/>
        </w:rPr>
        <w:t xml:space="preserve">Cieľom ochrany je zistenie stavu druhu </w:t>
      </w:r>
      <w:r>
        <w:rPr>
          <w:b/>
          <w:i/>
          <w:color w:val="000000"/>
        </w:rPr>
        <w:t xml:space="preserve">Carabus variolosus </w:t>
      </w:r>
      <w:r w:rsidRPr="009638FB">
        <w:rPr>
          <w:color w:val="000000"/>
        </w:rPr>
        <w:t>nakoľko je v súčasnosti veľkosť populácie neznáma</w:t>
      </w:r>
      <w:r>
        <w:rPr>
          <w:b/>
          <w:color w:val="000000"/>
        </w:rPr>
        <w:t xml:space="preserve"> </w:t>
      </w:r>
      <w:r>
        <w:rPr>
          <w:color w:val="000000"/>
        </w:rPr>
        <w:t>a bude potrebný monitoring:</w:t>
      </w:r>
    </w:p>
    <w:tbl>
      <w:tblPr>
        <w:tblW w:w="9564" w:type="dxa"/>
        <w:tblInd w:w="70" w:type="dxa"/>
        <w:tblCellMar>
          <w:left w:w="70" w:type="dxa"/>
          <w:right w:w="70" w:type="dxa"/>
        </w:tblCellMar>
        <w:tblLook w:val="04A0" w:firstRow="1" w:lastRow="0" w:firstColumn="1" w:lastColumn="0" w:noHBand="0" w:noVBand="1"/>
      </w:tblPr>
      <w:tblGrid>
        <w:gridCol w:w="1843"/>
        <w:gridCol w:w="7721"/>
      </w:tblGrid>
      <w:tr w:rsidR="00E902BF" w:rsidRPr="00EF3712" w14:paraId="6DABFE65" w14:textId="77777777" w:rsidTr="00E0168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3C39" w14:textId="77777777" w:rsidR="00E902BF" w:rsidRPr="00252F1F" w:rsidRDefault="00E902BF" w:rsidP="00E0168C">
            <w:pPr>
              <w:spacing w:line="240" w:lineRule="auto"/>
              <w:jc w:val="both"/>
              <w:rPr>
                <w:rFonts w:eastAsia="Times New Roman"/>
                <w:b/>
                <w:color w:val="000000"/>
                <w:sz w:val="20"/>
                <w:szCs w:val="20"/>
              </w:rPr>
            </w:pPr>
            <w:r w:rsidRPr="00252F1F">
              <w:rPr>
                <w:rFonts w:eastAsia="Times New Roman"/>
                <w:b/>
                <w:color w:val="000000"/>
                <w:sz w:val="20"/>
                <w:szCs w:val="20"/>
              </w:rPr>
              <w:t>Parameter</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09F74202" w14:textId="77777777" w:rsidR="00E902BF" w:rsidRPr="00252F1F" w:rsidRDefault="00E902BF" w:rsidP="00E0168C">
            <w:pPr>
              <w:spacing w:line="240" w:lineRule="auto"/>
              <w:jc w:val="both"/>
              <w:rPr>
                <w:rFonts w:eastAsia="Times New Roman"/>
                <w:b/>
                <w:color w:val="000000"/>
                <w:sz w:val="20"/>
                <w:szCs w:val="20"/>
              </w:rPr>
            </w:pPr>
            <w:r w:rsidRPr="00252F1F">
              <w:rPr>
                <w:rFonts w:eastAsia="Times New Roman"/>
                <w:b/>
                <w:color w:val="000000"/>
                <w:sz w:val="20"/>
                <w:szCs w:val="20"/>
              </w:rPr>
              <w:t xml:space="preserve">Cieľová hodnota </w:t>
            </w:r>
          </w:p>
        </w:tc>
      </w:tr>
      <w:tr w:rsidR="00E902BF" w:rsidRPr="00EF3712" w14:paraId="379509CA" w14:textId="77777777" w:rsidTr="00E0168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6751" w14:textId="77777777" w:rsidR="00E902BF" w:rsidRPr="00EF3712" w:rsidRDefault="00E902BF" w:rsidP="00E0168C">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39C78DBB" w14:textId="77777777" w:rsidR="00E902BF" w:rsidRPr="00EF3712" w:rsidRDefault="00E902BF" w:rsidP="00E0168C">
            <w:pPr>
              <w:spacing w:line="240" w:lineRule="auto"/>
              <w:jc w:val="both"/>
              <w:rPr>
                <w:rFonts w:eastAsia="Times New Roman"/>
                <w:color w:val="000000"/>
                <w:sz w:val="20"/>
                <w:szCs w:val="20"/>
              </w:rPr>
            </w:pPr>
            <w:r>
              <w:rPr>
                <w:rFonts w:eastAsia="Times New Roman"/>
                <w:color w:val="000000"/>
                <w:sz w:val="20"/>
                <w:szCs w:val="20"/>
              </w:rPr>
              <w:t xml:space="preserve">Zistenie veľkosti populácie cez </w:t>
            </w:r>
            <w:r w:rsidRPr="00EF3712">
              <w:rPr>
                <w:rFonts w:eastAsia="Times New Roman"/>
                <w:color w:val="000000"/>
                <w:sz w:val="20"/>
                <w:szCs w:val="20"/>
              </w:rPr>
              <w:t xml:space="preserve">komplexnejší monitoring </w:t>
            </w:r>
            <w:r>
              <w:rPr>
                <w:rFonts w:eastAsia="Times New Roman"/>
                <w:color w:val="000000"/>
                <w:sz w:val="20"/>
                <w:szCs w:val="20"/>
              </w:rPr>
              <w:t>– založením trvalých monitorivacích plôch a prieskumom v priebehu 3 rokov.</w:t>
            </w:r>
          </w:p>
        </w:tc>
      </w:tr>
      <w:tr w:rsidR="00E902BF" w:rsidRPr="00EF3712" w14:paraId="0704BEFE" w14:textId="77777777" w:rsidTr="00E0168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A54F77" w14:textId="77777777" w:rsidR="00E902BF" w:rsidRPr="00EF3712" w:rsidRDefault="00E902BF" w:rsidP="00E0168C">
            <w:pPr>
              <w:spacing w:line="240" w:lineRule="auto"/>
              <w:jc w:val="both"/>
              <w:rPr>
                <w:rFonts w:eastAsia="Times New Roman"/>
                <w:color w:val="000000"/>
                <w:sz w:val="20"/>
                <w:szCs w:val="20"/>
              </w:rPr>
            </w:pPr>
            <w:r>
              <w:rPr>
                <w:rFonts w:eastAsia="Times New Roman"/>
                <w:color w:val="000000"/>
                <w:sz w:val="20"/>
                <w:szCs w:val="20"/>
              </w:rPr>
              <w:t xml:space="preserve">Veľkosť a kvalita biotopu </w:t>
            </w:r>
          </w:p>
        </w:tc>
        <w:tc>
          <w:tcPr>
            <w:tcW w:w="7721" w:type="dxa"/>
            <w:tcBorders>
              <w:top w:val="single" w:sz="4" w:space="0" w:color="auto"/>
              <w:left w:val="nil"/>
              <w:bottom w:val="single" w:sz="4" w:space="0" w:color="auto"/>
              <w:right w:val="single" w:sz="4" w:space="0" w:color="auto"/>
            </w:tcBorders>
            <w:shd w:val="clear" w:color="auto" w:fill="auto"/>
            <w:vAlign w:val="center"/>
          </w:tcPr>
          <w:p w14:paraId="3FE67434" w14:textId="77777777" w:rsidR="00E902BF" w:rsidRPr="00EF3712" w:rsidRDefault="00E902BF" w:rsidP="00E0168C">
            <w:pPr>
              <w:spacing w:line="240" w:lineRule="auto"/>
              <w:jc w:val="both"/>
              <w:rPr>
                <w:rFonts w:eastAsia="Times New Roman"/>
                <w:color w:val="000000"/>
                <w:sz w:val="20"/>
                <w:szCs w:val="20"/>
              </w:rPr>
            </w:pPr>
            <w:r>
              <w:rPr>
                <w:rFonts w:eastAsia="Times New Roman"/>
                <w:color w:val="000000"/>
                <w:sz w:val="20"/>
                <w:szCs w:val="20"/>
              </w:rPr>
              <w:t>Špecifikovať atribúty a ciele v priebehu troch rokov na základe výskumu.</w:t>
            </w:r>
          </w:p>
        </w:tc>
      </w:tr>
    </w:tbl>
    <w:p w14:paraId="18B75360" w14:textId="77777777" w:rsidR="00E902BF" w:rsidRDefault="00E902BF" w:rsidP="00240459">
      <w:pPr>
        <w:pStyle w:val="Zkladntext"/>
        <w:widowControl w:val="0"/>
        <w:jc w:val="both"/>
        <w:rPr>
          <w:lang w:val="sk-SK"/>
        </w:rPr>
      </w:pPr>
    </w:p>
    <w:p w14:paraId="4AB1DF07" w14:textId="77777777" w:rsidR="000E05DA" w:rsidRDefault="00C65C57" w:rsidP="000E05DA">
      <w:pPr>
        <w:spacing w:line="240" w:lineRule="auto"/>
        <w:jc w:val="both"/>
        <w:rPr>
          <w:color w:val="000000"/>
          <w:shd w:val="clear" w:color="auto" w:fill="FFFFFF"/>
        </w:rPr>
      </w:pPr>
      <w:r>
        <w:rPr>
          <w:szCs w:val="24"/>
        </w:rPr>
        <w:t xml:space="preserve">Zachovanie </w:t>
      </w:r>
      <w:r w:rsidR="000E05DA">
        <w:rPr>
          <w:szCs w:val="24"/>
        </w:rPr>
        <w:t>stav</w:t>
      </w:r>
      <w:r>
        <w:rPr>
          <w:szCs w:val="24"/>
        </w:rPr>
        <w:t>u</w:t>
      </w:r>
      <w:r w:rsidR="000E05DA">
        <w:rPr>
          <w:szCs w:val="24"/>
        </w:rPr>
        <w:t xml:space="preserve"> druhu</w:t>
      </w:r>
      <w:r w:rsidR="000E05DA" w:rsidRPr="009327A0">
        <w:rPr>
          <w:szCs w:val="24"/>
        </w:rPr>
        <w:t xml:space="preserve"> </w:t>
      </w:r>
      <w:r w:rsidR="000E05DA" w:rsidRPr="000E05DA">
        <w:rPr>
          <w:b/>
          <w:szCs w:val="24"/>
        </w:rPr>
        <w:t>spriadač kostihojový (</w:t>
      </w:r>
      <w:r w:rsidR="000E05DA" w:rsidRPr="000E05DA">
        <w:rPr>
          <w:b/>
          <w:i/>
          <w:szCs w:val="24"/>
        </w:rPr>
        <w:t>Callimorpha quadripunctaria</w:t>
      </w:r>
      <w:r w:rsidR="000E05DA" w:rsidRPr="000E05DA">
        <w:rPr>
          <w:b/>
          <w:szCs w:val="24"/>
        </w:rPr>
        <w:t>)</w:t>
      </w:r>
      <w:r w:rsidR="000E05DA">
        <w:rPr>
          <w:szCs w:val="24"/>
        </w:rPr>
        <w:t xml:space="preserve"> z</w:t>
      </w:r>
      <w:r w:rsidR="000E05DA">
        <w:t>a splnenia nasledovných atribútov</w:t>
      </w:r>
      <w:r w:rsidR="000E05DA">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EF3711" w14:paraId="39FBB3A2" w14:textId="77777777" w:rsidTr="740D0D9C">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C5ED6E"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58325F4A"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1F7E7AE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523E4576"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EF3711" w14:paraId="18669B34" w14:textId="77777777" w:rsidTr="740D0D9C">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19AF"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5F10FB28"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9800A4B" w14:textId="492936AB" w:rsidR="000E05DA" w:rsidRPr="00EF3711" w:rsidRDefault="00EF6E43" w:rsidP="000560C8">
            <w:pPr>
              <w:spacing w:after="0" w:line="240" w:lineRule="auto"/>
              <w:jc w:val="center"/>
              <w:rPr>
                <w:rFonts w:eastAsia="Times New Roman"/>
                <w:sz w:val="20"/>
                <w:szCs w:val="20"/>
              </w:rPr>
            </w:pPr>
            <w:r>
              <w:rPr>
                <w:rFonts w:eastAsia="Times New Roman"/>
                <w:sz w:val="20"/>
                <w:szCs w:val="20"/>
              </w:rPr>
              <w:t xml:space="preserve">Najmenej </w:t>
            </w:r>
            <w:r w:rsidR="00E902BF">
              <w:rPr>
                <w:rFonts w:eastAsia="Times New Roman"/>
                <w:sz w:val="20"/>
                <w:szCs w:val="20"/>
              </w:rPr>
              <w:t>1</w:t>
            </w:r>
            <w:r w:rsidR="000E05DA">
              <w:rPr>
                <w:rFonts w:eastAsia="Times New Roman"/>
                <w:sz w:val="20"/>
                <w:szCs w:val="20"/>
              </w:rPr>
              <w:t>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17B424" w14:textId="3F7B24C1" w:rsidR="000E05DA" w:rsidRPr="00EF3711" w:rsidRDefault="000E05DA" w:rsidP="00252F1F">
            <w:pPr>
              <w:spacing w:after="0" w:line="240" w:lineRule="auto"/>
              <w:jc w:val="center"/>
              <w:rPr>
                <w:rFonts w:eastAsia="Times New Roman"/>
                <w:sz w:val="20"/>
                <w:szCs w:val="20"/>
              </w:rPr>
            </w:pPr>
            <w:r w:rsidRPr="00EF3711">
              <w:rPr>
                <w:rFonts w:eastAsia="Times New Roman"/>
                <w:sz w:val="20"/>
                <w:szCs w:val="20"/>
              </w:rPr>
              <w:t xml:space="preserve">odhaduje sa </w:t>
            </w:r>
            <w:r w:rsidR="00E902BF">
              <w:rPr>
                <w:rFonts w:eastAsia="Times New Roman"/>
                <w:sz w:val="20"/>
                <w:szCs w:val="20"/>
              </w:rPr>
              <w:t>do 1</w:t>
            </w:r>
            <w:r>
              <w:rPr>
                <w:rFonts w:eastAsia="Times New Roman"/>
                <w:sz w:val="20"/>
                <w:szCs w:val="20"/>
              </w:rPr>
              <w:t xml:space="preserve">00 </w:t>
            </w:r>
            <w:r w:rsidRPr="00EF3711">
              <w:rPr>
                <w:rFonts w:eastAsia="Times New Roman"/>
                <w:sz w:val="20"/>
                <w:szCs w:val="20"/>
              </w:rPr>
              <w:t>jedincov</w:t>
            </w:r>
            <w:r w:rsidR="00E902BF">
              <w:rPr>
                <w:rFonts w:eastAsia="Times New Roman"/>
                <w:sz w:val="20"/>
                <w:szCs w:val="20"/>
              </w:rPr>
              <w:t>, udržiavať min. početnosť na 1</w:t>
            </w:r>
            <w:r w:rsidR="00C65C57">
              <w:rPr>
                <w:rFonts w:eastAsia="Times New Roman"/>
                <w:sz w:val="20"/>
                <w:szCs w:val="20"/>
              </w:rPr>
              <w:t>00 jedincov</w:t>
            </w:r>
            <w:r w:rsidRPr="00EF3711">
              <w:rPr>
                <w:rFonts w:eastAsia="Times New Roman"/>
                <w:sz w:val="20"/>
                <w:szCs w:val="20"/>
              </w:rPr>
              <w:t xml:space="preserve"> </w:t>
            </w:r>
          </w:p>
        </w:tc>
      </w:tr>
      <w:tr w:rsidR="000E05DA" w:rsidRPr="00EF3711" w14:paraId="199A7134" w14:textId="77777777" w:rsidTr="740D0D9C">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35CD05D"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AB25BA7"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7772BD4D" w14:textId="1C196F7D" w:rsidR="000E05DA" w:rsidRPr="00EF3711" w:rsidRDefault="740D0D9C" w:rsidP="00C65C57">
            <w:pPr>
              <w:spacing w:after="0" w:line="240" w:lineRule="auto"/>
              <w:jc w:val="center"/>
              <w:rPr>
                <w:rFonts w:eastAsia="Times New Roman"/>
                <w:sz w:val="20"/>
                <w:szCs w:val="20"/>
              </w:rPr>
            </w:pPr>
            <w:r w:rsidRPr="740D0D9C">
              <w:rPr>
                <w:rFonts w:eastAsia="Times New Roman"/>
                <w:sz w:val="20"/>
                <w:szCs w:val="20"/>
              </w:rPr>
              <w:t>najmenej 2 ha</w:t>
            </w:r>
          </w:p>
        </w:tc>
        <w:tc>
          <w:tcPr>
            <w:tcW w:w="4252" w:type="dxa"/>
            <w:tcBorders>
              <w:top w:val="nil"/>
              <w:left w:val="nil"/>
              <w:bottom w:val="single" w:sz="4" w:space="0" w:color="auto"/>
              <w:right w:val="single" w:sz="4" w:space="0" w:color="auto"/>
            </w:tcBorders>
            <w:shd w:val="clear" w:color="auto" w:fill="auto"/>
            <w:vAlign w:val="bottom"/>
            <w:hideMark/>
          </w:tcPr>
          <w:p w14:paraId="07D5368D"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0E05DA" w:rsidRPr="00EF3711" w14:paraId="3E405E97" w14:textId="77777777" w:rsidTr="740D0D9C">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F59149" w14:textId="77777777" w:rsidR="000E05DA" w:rsidRPr="00EF3711" w:rsidRDefault="000E05DA" w:rsidP="00E64259">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sidR="00E64259">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BD37C9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B600D0B" w14:textId="77777777" w:rsidR="000E05DA" w:rsidRPr="00EF3711" w:rsidRDefault="000E05DA" w:rsidP="000560C8">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1EE12475"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0E05DA" w:rsidRPr="00EF3711" w14:paraId="77214B47" w14:textId="77777777" w:rsidTr="740D0D9C">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9A8A3"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444750A1"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7EECFB0A" w14:textId="77777777" w:rsidR="000E05DA" w:rsidRPr="00EF3711" w:rsidRDefault="000E05DA" w:rsidP="000560C8">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467A491" w14:textId="77777777" w:rsidR="000E05DA" w:rsidRPr="00EF3711" w:rsidRDefault="000E05DA" w:rsidP="000560C8">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5351E59E" w14:textId="77777777" w:rsidR="00E64259" w:rsidRDefault="00E64259" w:rsidP="000E05DA">
      <w:pPr>
        <w:spacing w:line="240" w:lineRule="auto"/>
        <w:ind w:left="360"/>
        <w:jc w:val="both"/>
      </w:pPr>
    </w:p>
    <w:p w14:paraId="07E2BDF0" w14:textId="19EFB543" w:rsidR="00E64259" w:rsidRDefault="00EF6E43" w:rsidP="00E64259">
      <w:pPr>
        <w:spacing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b/>
          <w:szCs w:val="24"/>
        </w:rPr>
        <w:t>priadkovec trnkový (</w:t>
      </w:r>
      <w:r w:rsidR="00E64259" w:rsidRPr="00E64259">
        <w:rPr>
          <w:b/>
          <w:i/>
          <w:szCs w:val="24"/>
        </w:rPr>
        <w:t>Eriogaster catax</w:t>
      </w:r>
      <w:r w:rsidR="00E64259" w:rsidRPr="00E64259">
        <w:rPr>
          <w:b/>
          <w:szCs w:val="24"/>
        </w:rPr>
        <w:t>)</w:t>
      </w:r>
      <w:r w:rsidR="00E64259">
        <w:rPr>
          <w:szCs w:val="24"/>
        </w:rPr>
        <w:t xml:space="preserve"> z</w:t>
      </w:r>
      <w:r w:rsidR="00E64259">
        <w:t>a splnenia nasledovných atribútov</w:t>
      </w:r>
      <w:r w:rsidR="00E64259">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0E05DA" w:rsidRPr="00626A09" w14:paraId="5E5F2E5E" w14:textId="77777777" w:rsidTr="1C9E94EB">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9D4401" w14:textId="77777777" w:rsidR="000E05DA" w:rsidRPr="00E81D0D" w:rsidRDefault="000E05DA" w:rsidP="000560C8">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C46AD75" w14:textId="77777777" w:rsidR="000E05DA" w:rsidRPr="00E81D0D" w:rsidRDefault="000E05DA" w:rsidP="000560C8">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4E794C34" w14:textId="77777777" w:rsidR="000E05DA" w:rsidRPr="00E81D0D" w:rsidRDefault="000E05DA" w:rsidP="000560C8">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D338B" w14:textId="77777777" w:rsidR="000E05DA" w:rsidRPr="00E81D0D" w:rsidRDefault="000E05DA" w:rsidP="000560C8">
            <w:pPr>
              <w:spacing w:after="0" w:line="240" w:lineRule="auto"/>
              <w:jc w:val="center"/>
              <w:rPr>
                <w:rFonts w:eastAsia="Times New Roman"/>
                <w:sz w:val="20"/>
                <w:szCs w:val="20"/>
              </w:rPr>
            </w:pPr>
            <w:r w:rsidRPr="00856FF5">
              <w:rPr>
                <w:b/>
                <w:sz w:val="18"/>
                <w:szCs w:val="18"/>
              </w:rPr>
              <w:t>Doplnkové informácie</w:t>
            </w:r>
          </w:p>
        </w:tc>
      </w:tr>
      <w:tr w:rsidR="000E05DA" w:rsidRPr="00626A09" w14:paraId="6FF92F52" w14:textId="77777777" w:rsidTr="1C9E94EB">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A1F2" w14:textId="77777777" w:rsidR="000E05DA" w:rsidRPr="00E81D0D" w:rsidRDefault="000E05DA" w:rsidP="000560C8">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228B7391"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ADD536C" w14:textId="5C1AF21C" w:rsidR="000E05DA" w:rsidRPr="00E81D0D" w:rsidRDefault="000E05DA" w:rsidP="000560C8">
            <w:pPr>
              <w:spacing w:after="0" w:line="240" w:lineRule="auto"/>
              <w:jc w:val="center"/>
              <w:rPr>
                <w:rFonts w:eastAsia="Times New Roman"/>
                <w:sz w:val="20"/>
                <w:szCs w:val="20"/>
              </w:rPr>
            </w:pPr>
            <w:r w:rsidRPr="00EF3711">
              <w:rPr>
                <w:sz w:val="20"/>
                <w:szCs w:val="20"/>
              </w:rPr>
              <w:t xml:space="preserve">najmenej </w:t>
            </w:r>
            <w:r w:rsidR="00E902BF">
              <w:rPr>
                <w:sz w:val="20"/>
                <w:szCs w:val="20"/>
              </w:rPr>
              <w:t>1</w:t>
            </w:r>
            <w:r>
              <w:rPr>
                <w:sz w:val="20"/>
                <w:szCs w:val="20"/>
              </w:rPr>
              <w:t>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7D63697" w14:textId="1092F0B1" w:rsidR="000E05DA" w:rsidRPr="00E81D0D" w:rsidRDefault="1C9E94EB" w:rsidP="00252F1F">
            <w:pPr>
              <w:spacing w:after="0" w:line="240" w:lineRule="auto"/>
              <w:jc w:val="center"/>
              <w:rPr>
                <w:sz w:val="20"/>
                <w:szCs w:val="20"/>
              </w:rPr>
            </w:pPr>
            <w:r w:rsidRPr="1C9E94EB">
              <w:rPr>
                <w:sz w:val="20"/>
                <w:szCs w:val="20"/>
              </w:rPr>
              <w:t>od</w:t>
            </w:r>
            <w:r w:rsidR="00252F1F">
              <w:rPr>
                <w:sz w:val="20"/>
                <w:szCs w:val="20"/>
              </w:rPr>
              <w:t xml:space="preserve">haduje sa na  10 – 100 jedincov, potrebné </w:t>
            </w:r>
            <w:r w:rsidRPr="1C9E94EB">
              <w:rPr>
                <w:sz w:val="20"/>
                <w:szCs w:val="20"/>
              </w:rPr>
              <w:t>zistiť aktuálnu početnosť monitoringom</w:t>
            </w:r>
          </w:p>
        </w:tc>
      </w:tr>
      <w:tr w:rsidR="000E05DA" w:rsidRPr="00626A09" w14:paraId="62A69F1C" w14:textId="77777777" w:rsidTr="1C9E94EB">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994F5B" w14:textId="77777777" w:rsidR="000E05DA" w:rsidRPr="00E81D0D" w:rsidRDefault="000E05DA" w:rsidP="000560C8">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586258F" w14:textId="77777777" w:rsidR="000E05DA" w:rsidRPr="00E81D0D" w:rsidRDefault="000E05DA" w:rsidP="000560C8">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265BAE13" w14:textId="63EBCE7E" w:rsidR="000E05DA" w:rsidRPr="00E81D0D" w:rsidRDefault="1C9E94EB" w:rsidP="00C65C57">
            <w:pPr>
              <w:spacing w:after="0" w:line="240" w:lineRule="auto"/>
              <w:jc w:val="center"/>
              <w:rPr>
                <w:rFonts w:eastAsia="Times New Roman"/>
                <w:sz w:val="20"/>
                <w:szCs w:val="20"/>
              </w:rPr>
            </w:pPr>
            <w:r w:rsidRPr="1C9E94EB">
              <w:rPr>
                <w:sz w:val="20"/>
                <w:szCs w:val="20"/>
              </w:rPr>
              <w:t>najmenej 0,01 ha</w:t>
            </w:r>
          </w:p>
        </w:tc>
        <w:tc>
          <w:tcPr>
            <w:tcW w:w="4252" w:type="dxa"/>
            <w:tcBorders>
              <w:top w:val="nil"/>
              <w:left w:val="nil"/>
              <w:bottom w:val="single" w:sz="4" w:space="0" w:color="auto"/>
              <w:right w:val="single" w:sz="4" w:space="0" w:color="auto"/>
            </w:tcBorders>
            <w:shd w:val="clear" w:color="auto" w:fill="auto"/>
            <w:vAlign w:val="bottom"/>
            <w:hideMark/>
          </w:tcPr>
          <w:p w14:paraId="2631E18D" w14:textId="77777777" w:rsidR="000E05DA" w:rsidRPr="00E81D0D" w:rsidRDefault="000E05DA" w:rsidP="000560C8">
            <w:pPr>
              <w:spacing w:after="0" w:line="240" w:lineRule="auto"/>
              <w:rPr>
                <w:rFonts w:eastAsia="Times New Roman"/>
                <w:sz w:val="20"/>
                <w:szCs w:val="20"/>
              </w:rPr>
            </w:pPr>
            <w:r w:rsidRPr="00EF3711">
              <w:rPr>
                <w:sz w:val="20"/>
                <w:szCs w:val="20"/>
              </w:rPr>
              <w:t>nižšie a stredné polohy, krovinaté biotopy, riedke lesy, lesné ekotony</w:t>
            </w:r>
          </w:p>
        </w:tc>
      </w:tr>
      <w:tr w:rsidR="000E05DA" w:rsidRPr="00626A09" w14:paraId="1EBB13FA" w14:textId="77777777" w:rsidTr="1C9E94EB">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32DA8D" w14:textId="77777777" w:rsidR="000E05DA" w:rsidRPr="00E81D0D" w:rsidRDefault="000E05DA" w:rsidP="000560C8">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12F723D9" w14:textId="77777777" w:rsidR="000E05DA" w:rsidRPr="00E81D0D" w:rsidRDefault="000E05DA" w:rsidP="000560C8">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E270065" w14:textId="77777777" w:rsidR="000E05DA" w:rsidRPr="00E81D0D" w:rsidRDefault="000E05DA" w:rsidP="000560C8">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946DDE3" w14:textId="77777777" w:rsidR="000E05DA" w:rsidRPr="00E81D0D" w:rsidRDefault="000E05DA" w:rsidP="000560C8">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0E05DA" w:rsidRPr="00626A09" w14:paraId="4F71325A" w14:textId="77777777" w:rsidTr="1C9E94EB">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A0E61" w14:textId="77777777" w:rsidR="000E05DA" w:rsidRPr="00E81D0D" w:rsidRDefault="000E05DA" w:rsidP="000560C8">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9064753"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60EB1BCF" w14:textId="77777777" w:rsidR="000E05DA" w:rsidRPr="00E81D0D" w:rsidRDefault="000E05DA" w:rsidP="000560C8">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696BA2D" w14:textId="77777777" w:rsidR="000E05DA" w:rsidRPr="00E81D0D" w:rsidRDefault="000E05DA" w:rsidP="000560C8">
            <w:pPr>
              <w:spacing w:after="0" w:line="240" w:lineRule="auto"/>
              <w:rPr>
                <w:rFonts w:eastAsia="Times New Roman"/>
                <w:sz w:val="20"/>
                <w:szCs w:val="20"/>
              </w:rPr>
            </w:pPr>
            <w:r w:rsidRPr="00EF3711">
              <w:rPr>
                <w:sz w:val="20"/>
                <w:szCs w:val="20"/>
              </w:rPr>
              <w:t>sekundárna sukcesia na lokalite max. do 3%</w:t>
            </w:r>
          </w:p>
        </w:tc>
      </w:tr>
    </w:tbl>
    <w:p w14:paraId="44A59703" w14:textId="77777777" w:rsidR="000E05DA" w:rsidRPr="001921C3" w:rsidRDefault="000E05DA" w:rsidP="000E05DA">
      <w:pPr>
        <w:spacing w:line="240" w:lineRule="auto"/>
        <w:ind w:left="360"/>
        <w:jc w:val="both"/>
      </w:pPr>
    </w:p>
    <w:p w14:paraId="1F9F32A5" w14:textId="5A864A21" w:rsidR="00E64259" w:rsidRDefault="00EF6E43" w:rsidP="00E64259">
      <w:pPr>
        <w:spacing w:line="240" w:lineRule="auto"/>
        <w:jc w:val="both"/>
        <w:rPr>
          <w:color w:val="000000"/>
          <w:shd w:val="clear" w:color="auto" w:fill="FFFFFF"/>
        </w:rPr>
      </w:pPr>
      <w:r>
        <w:rPr>
          <w:szCs w:val="24"/>
        </w:rPr>
        <w:t xml:space="preserve">Zlepšenie </w:t>
      </w:r>
      <w:r w:rsidR="00E64259">
        <w:rPr>
          <w:szCs w:val="24"/>
        </w:rPr>
        <w:t>stav</w:t>
      </w:r>
      <w:r w:rsidR="00C65C57">
        <w:rPr>
          <w:szCs w:val="24"/>
        </w:rPr>
        <w:t>u</w:t>
      </w:r>
      <w:r w:rsidR="00E64259">
        <w:rPr>
          <w:szCs w:val="24"/>
        </w:rPr>
        <w:t xml:space="preserve"> druhu</w:t>
      </w:r>
      <w:r w:rsidR="00E64259" w:rsidRPr="009327A0">
        <w:rPr>
          <w:szCs w:val="24"/>
        </w:rPr>
        <w:t xml:space="preserve"> </w:t>
      </w:r>
      <w:r w:rsidR="00E64259" w:rsidRPr="00E64259">
        <w:rPr>
          <w:rFonts w:eastAsia="Times New Roman"/>
          <w:b/>
          <w:i/>
          <w:color w:val="000000"/>
        </w:rPr>
        <w:t>Lycaena dispar</w:t>
      </w:r>
      <w:r w:rsidR="00E64259">
        <w:rPr>
          <w:szCs w:val="24"/>
        </w:rPr>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1C9E94EB">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Pr="00252F1F" w:rsidRDefault="000E05DA" w:rsidP="000560C8">
            <w:pPr>
              <w:spacing w:after="0" w:line="240" w:lineRule="auto"/>
              <w:jc w:val="center"/>
              <w:rPr>
                <w:rFonts w:eastAsia="Times New Roman"/>
                <w:b/>
                <w:sz w:val="20"/>
                <w:szCs w:val="20"/>
              </w:rPr>
            </w:pPr>
            <w:r w:rsidRPr="00252F1F">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Pr="00252F1F" w:rsidRDefault="000E05DA" w:rsidP="000560C8">
            <w:pPr>
              <w:spacing w:after="0" w:line="240" w:lineRule="auto"/>
              <w:jc w:val="center"/>
              <w:rPr>
                <w:rFonts w:eastAsia="Times New Roman"/>
                <w:b/>
                <w:sz w:val="20"/>
                <w:szCs w:val="20"/>
              </w:rPr>
            </w:pPr>
            <w:r w:rsidRPr="00252F1F">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Pr="00252F1F" w:rsidRDefault="000E05DA" w:rsidP="000560C8">
            <w:pPr>
              <w:spacing w:after="0" w:line="240" w:lineRule="auto"/>
              <w:jc w:val="center"/>
              <w:rPr>
                <w:rFonts w:eastAsia="Times New Roman"/>
                <w:b/>
                <w:sz w:val="20"/>
                <w:szCs w:val="20"/>
              </w:rPr>
            </w:pPr>
            <w:r w:rsidRPr="00252F1F">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Pr="00252F1F" w:rsidRDefault="000E05DA" w:rsidP="000560C8">
            <w:pPr>
              <w:spacing w:after="0" w:line="240" w:lineRule="auto"/>
              <w:jc w:val="center"/>
              <w:rPr>
                <w:rFonts w:eastAsia="Times New Roman"/>
                <w:b/>
                <w:sz w:val="20"/>
                <w:szCs w:val="20"/>
              </w:rPr>
            </w:pPr>
            <w:r w:rsidRPr="00252F1F">
              <w:rPr>
                <w:rFonts w:eastAsia="Times New Roman"/>
                <w:b/>
                <w:sz w:val="20"/>
                <w:szCs w:val="20"/>
              </w:rPr>
              <w:t>Doplnkové informácie</w:t>
            </w:r>
          </w:p>
        </w:tc>
      </w:tr>
      <w:tr w:rsidR="000E05DA" w14:paraId="2B7124B4" w14:textId="77777777" w:rsidTr="1C9E94EB">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70286940" w:rsidR="000E05DA" w:rsidRDefault="1C9E94EB" w:rsidP="000560C8">
            <w:pPr>
              <w:spacing w:after="0" w:line="240" w:lineRule="auto"/>
              <w:jc w:val="center"/>
              <w:rPr>
                <w:rFonts w:eastAsia="Times New Roman"/>
                <w:sz w:val="20"/>
                <w:szCs w:val="20"/>
              </w:rPr>
            </w:pPr>
            <w:r w:rsidRPr="1C9E94EB">
              <w:rPr>
                <w:rFonts w:eastAsia="Times New Roman"/>
                <w:sz w:val="20"/>
                <w:szCs w:val="20"/>
              </w:rPr>
              <w:t>najmenej 100</w:t>
            </w:r>
          </w:p>
        </w:tc>
        <w:tc>
          <w:tcPr>
            <w:tcW w:w="3969" w:type="dxa"/>
            <w:tcBorders>
              <w:top w:val="single" w:sz="4" w:space="0" w:color="auto"/>
              <w:left w:val="nil"/>
              <w:bottom w:val="single" w:sz="4" w:space="0" w:color="auto"/>
              <w:right w:val="single" w:sz="4" w:space="0" w:color="auto"/>
            </w:tcBorders>
            <w:vAlign w:val="center"/>
            <w:hideMark/>
          </w:tcPr>
          <w:p w14:paraId="5157AC13" w14:textId="78224178" w:rsidR="000E05DA" w:rsidRDefault="1C9E94EB" w:rsidP="000560C8">
            <w:pPr>
              <w:spacing w:after="0" w:line="240" w:lineRule="auto"/>
              <w:jc w:val="center"/>
              <w:rPr>
                <w:rFonts w:eastAsia="Times New Roman"/>
                <w:sz w:val="20"/>
                <w:szCs w:val="20"/>
              </w:rPr>
            </w:pPr>
            <w:r w:rsidRPr="1C9E94EB">
              <w:rPr>
                <w:rFonts w:eastAsia="Times New Roman"/>
                <w:sz w:val="20"/>
                <w:szCs w:val="20"/>
              </w:rPr>
              <w:t xml:space="preserve">V SDF sa </w:t>
            </w:r>
            <w:r w:rsidRPr="1C9E94EB">
              <w:rPr>
                <w:rFonts w:eastAsia="Times New Roman"/>
                <w:sz w:val="20"/>
                <w:szCs w:val="20"/>
              </w:rPr>
              <w:t xml:space="preserve">odhaduje na  100 – 1000 jedincov </w:t>
            </w:r>
            <w:r w:rsidRPr="1C9E94EB">
              <w:rPr>
                <w:rFonts w:eastAsia="Times New Roman"/>
                <w:sz w:val="20"/>
                <w:szCs w:val="20"/>
              </w:rPr>
              <w:t xml:space="preserve"> odhad je vyšší ako reálny stav, ktorý treba zistiť monitoringom</w:t>
            </w:r>
            <w:r w:rsidRPr="1C9E94EB">
              <w:rPr>
                <w:rFonts w:eastAsia="Times New Roman"/>
                <w:sz w:val="20"/>
                <w:szCs w:val="20"/>
              </w:rPr>
              <w:t>,</w:t>
            </w:r>
            <w:r w:rsidRPr="1C9E94EB">
              <w:rPr>
                <w:rFonts w:eastAsia="Times New Roman"/>
                <w:sz w:val="20"/>
                <w:szCs w:val="20"/>
              </w:rPr>
              <w:t xml:space="preserve"> ide o druh vyskytujúci sa prirodzene jednotlivo</w:t>
            </w:r>
            <w:r w:rsidRPr="1C9E94EB">
              <w:rPr>
                <w:rFonts w:eastAsia="Times New Roman"/>
                <w:sz w:val="20"/>
                <w:szCs w:val="20"/>
              </w:rPr>
              <w:t xml:space="preserve"> </w:t>
            </w:r>
          </w:p>
        </w:tc>
      </w:tr>
      <w:tr w:rsidR="000E05DA" w14:paraId="5114BD70" w14:textId="77777777" w:rsidTr="1C9E94EB">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55368218" w:rsidR="000E05DA" w:rsidRDefault="1C9E94EB" w:rsidP="00022BC0">
            <w:pPr>
              <w:spacing w:after="0" w:line="240" w:lineRule="auto"/>
              <w:jc w:val="center"/>
              <w:rPr>
                <w:rFonts w:eastAsia="Times New Roman"/>
                <w:sz w:val="20"/>
                <w:szCs w:val="20"/>
              </w:rPr>
            </w:pPr>
            <w:r w:rsidRPr="1C9E94EB">
              <w:rPr>
                <w:rFonts w:eastAsia="Times New Roman"/>
                <w:sz w:val="20"/>
                <w:szCs w:val="20"/>
              </w:rPr>
              <w:t xml:space="preserve">najmenej </w:t>
            </w:r>
            <w:r w:rsidRPr="1C9E94EB">
              <w:rPr>
                <w:rFonts w:eastAsia="Times New Roman"/>
                <w:sz w:val="20"/>
                <w:szCs w:val="20"/>
              </w:rPr>
              <w:t>1</w:t>
            </w:r>
            <w:r w:rsidRPr="1C9E94EB">
              <w:rPr>
                <w:rFonts w:eastAsia="Times New Roman"/>
                <w:sz w:val="20"/>
                <w:szCs w:val="20"/>
              </w:rPr>
              <w:t xml:space="preserve">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1C9E94EB">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34FA7218"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BFEFBF" w14:textId="6F2B3C3B" w:rsidR="00022BC0" w:rsidRDefault="00022BC0" w:rsidP="00022BC0">
            <w:pPr>
              <w:spacing w:after="0" w:line="240" w:lineRule="auto"/>
              <w:rPr>
                <w:rFonts w:eastAsia="Times New Roman"/>
                <w:sz w:val="20"/>
                <w:szCs w:val="20"/>
              </w:rPr>
            </w:pPr>
            <w:r w:rsidRPr="00870D1F">
              <w:rPr>
                <w:rFonts w:eastAsia="Times New Roman"/>
                <w:color w:val="000000"/>
                <w:sz w:val="20"/>
                <w:szCs w:val="20"/>
              </w:rPr>
              <w:t>zachovanie lúčnej vegetácie a pobrežných nelesných porastov s hostiteľskou rastlinou Rumex sp. V zastúpení min. 20 %</w:t>
            </w:r>
          </w:p>
        </w:tc>
      </w:tr>
    </w:tbl>
    <w:p w14:paraId="3284BE4C" w14:textId="732F1900" w:rsidR="004F7434" w:rsidRDefault="004F7434"/>
    <w:p w14:paraId="3760131B" w14:textId="035DCC2E" w:rsidR="00C9571F" w:rsidRPr="00EF3712" w:rsidRDefault="00252F1F"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1C9E94E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252F1F" w:rsidRDefault="00C9571F" w:rsidP="00C9571F">
            <w:pPr>
              <w:spacing w:line="240" w:lineRule="auto"/>
              <w:jc w:val="both"/>
              <w:rPr>
                <w:rFonts w:eastAsia="Times New Roman"/>
                <w:b/>
                <w:color w:val="000000"/>
                <w:sz w:val="20"/>
                <w:szCs w:val="20"/>
              </w:rPr>
            </w:pPr>
            <w:r w:rsidRPr="00252F1F">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252F1F" w:rsidRDefault="00C9571F" w:rsidP="00C9571F">
            <w:pPr>
              <w:spacing w:line="240" w:lineRule="auto"/>
              <w:jc w:val="center"/>
              <w:rPr>
                <w:rFonts w:eastAsia="Times New Roman"/>
                <w:b/>
                <w:color w:val="000000"/>
                <w:sz w:val="20"/>
                <w:szCs w:val="20"/>
              </w:rPr>
            </w:pPr>
            <w:r w:rsidRPr="00252F1F">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252F1F" w:rsidRDefault="00C9571F" w:rsidP="00C9571F">
            <w:pPr>
              <w:spacing w:line="240" w:lineRule="auto"/>
              <w:jc w:val="center"/>
              <w:rPr>
                <w:rFonts w:eastAsia="Times New Roman"/>
                <w:b/>
                <w:color w:val="000000"/>
                <w:sz w:val="20"/>
                <w:szCs w:val="20"/>
              </w:rPr>
            </w:pPr>
            <w:r w:rsidRPr="00252F1F">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252F1F" w:rsidRDefault="00C9571F" w:rsidP="00C9571F">
            <w:pPr>
              <w:spacing w:line="240" w:lineRule="auto"/>
              <w:jc w:val="both"/>
              <w:rPr>
                <w:rFonts w:eastAsia="Times New Roman"/>
                <w:b/>
                <w:color w:val="000000"/>
                <w:sz w:val="20"/>
                <w:szCs w:val="20"/>
              </w:rPr>
            </w:pPr>
            <w:r w:rsidRPr="00252F1F">
              <w:rPr>
                <w:rFonts w:eastAsia="Times New Roman"/>
                <w:b/>
                <w:color w:val="000000"/>
                <w:sz w:val="20"/>
                <w:szCs w:val="20"/>
              </w:rPr>
              <w:t>Doplnkové informácie</w:t>
            </w:r>
          </w:p>
        </w:tc>
      </w:tr>
      <w:tr w:rsidR="00C9571F" w:rsidRPr="0000010E" w14:paraId="64C9D492" w14:textId="77777777" w:rsidTr="1C9E94E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1E33A943"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Viac ako 10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406EAA26" w:rsidR="00C9571F" w:rsidRPr="00EF3712" w:rsidRDefault="1C9E94EB" w:rsidP="00252F1F">
            <w:pPr>
              <w:spacing w:line="240" w:lineRule="auto"/>
              <w:jc w:val="both"/>
              <w:rPr>
                <w:rFonts w:eastAsia="Times New Roman"/>
                <w:color w:val="000000"/>
                <w:sz w:val="20"/>
                <w:szCs w:val="20"/>
              </w:rPr>
            </w:pPr>
            <w:r w:rsidRPr="1C9E94EB">
              <w:rPr>
                <w:rFonts w:eastAsia="Times New Roman"/>
                <w:color w:val="000000" w:themeColor="text1"/>
                <w:sz w:val="20"/>
                <w:szCs w:val="20"/>
              </w:rPr>
              <w:t>Odhaduje sa interval veľkosti populácie v území do 100  jedincov, bude potrebný komplexnejší monitoring populácie druhu.</w:t>
            </w:r>
          </w:p>
        </w:tc>
      </w:tr>
      <w:tr w:rsidR="00C9571F" w:rsidRPr="0000010E" w14:paraId="6902F1B3" w14:textId="77777777" w:rsidTr="1C9E94E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3892DE8F" w:rsidR="00C9571F" w:rsidRPr="009A5B90" w:rsidRDefault="1C9E94EB" w:rsidP="00C9571F">
            <w:pPr>
              <w:spacing w:line="240" w:lineRule="auto"/>
              <w:jc w:val="center"/>
              <w:rPr>
                <w:rFonts w:eastAsia="Times New Roman"/>
                <w:color w:val="000000"/>
                <w:sz w:val="20"/>
                <w:szCs w:val="20"/>
              </w:rPr>
            </w:pPr>
            <w:r w:rsidRPr="1C9E94EB">
              <w:rPr>
                <w:rFonts w:eastAsia="Times New Roman"/>
                <w:sz w:val="20"/>
                <w:szCs w:val="20"/>
              </w:rPr>
              <w:t>najmenej 3</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1C9E94E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1EBA4572"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252F1F">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454EA062" w14:textId="77777777" w:rsidR="00C9571F" w:rsidRPr="00EF3712" w:rsidRDefault="00C9571F" w:rsidP="00C9571F">
      <w:pPr>
        <w:pStyle w:val="Zkladntext"/>
        <w:widowControl w:val="0"/>
        <w:ind w:left="360"/>
        <w:jc w:val="both"/>
        <w:rPr>
          <w:b/>
          <w:i/>
          <w:color w:val="000000"/>
        </w:rPr>
      </w:pPr>
    </w:p>
    <w:sectPr w:rsidR="00C9571F" w:rsidRPr="00EF3712">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708BD"/>
    <w:rsid w:val="001E6775"/>
    <w:rsid w:val="00240459"/>
    <w:rsid w:val="00252F1F"/>
    <w:rsid w:val="0027081D"/>
    <w:rsid w:val="002817B8"/>
    <w:rsid w:val="00346ACE"/>
    <w:rsid w:val="003509FA"/>
    <w:rsid w:val="003E7F90"/>
    <w:rsid w:val="004F7434"/>
    <w:rsid w:val="00562BB2"/>
    <w:rsid w:val="005C00AB"/>
    <w:rsid w:val="009E2909"/>
    <w:rsid w:val="00A4711A"/>
    <w:rsid w:val="00BF1520"/>
    <w:rsid w:val="00C65C57"/>
    <w:rsid w:val="00C9571F"/>
    <w:rsid w:val="00D76319"/>
    <w:rsid w:val="00E64259"/>
    <w:rsid w:val="00E902BF"/>
    <w:rsid w:val="00EC67A6"/>
    <w:rsid w:val="00EF6E43"/>
    <w:rsid w:val="00F0318A"/>
    <w:rsid w:val="00F436A8"/>
    <w:rsid w:val="1C9E94EB"/>
    <w:rsid w:val="29AAB622"/>
    <w:rsid w:val="63E5C487"/>
    <w:rsid w:val="6AB37CAC"/>
    <w:rsid w:val="740D0D9C"/>
    <w:rsid w:val="7A219308"/>
    <w:rsid w:val="7D5933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774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38416036">
      <w:bodyDiv w:val="1"/>
      <w:marLeft w:val="0"/>
      <w:marRight w:val="0"/>
      <w:marTop w:val="0"/>
      <w:marBottom w:val="0"/>
      <w:divBdr>
        <w:top w:val="none" w:sz="0" w:space="0" w:color="auto"/>
        <w:left w:val="none" w:sz="0" w:space="0" w:color="auto"/>
        <w:bottom w:val="none" w:sz="0" w:space="0" w:color="auto"/>
        <w:right w:val="none" w:sz="0" w:space="0" w:color="auto"/>
      </w:divBdr>
    </w:div>
    <w:div w:id="851334103">
      <w:bodyDiv w:val="1"/>
      <w:marLeft w:val="0"/>
      <w:marRight w:val="0"/>
      <w:marTop w:val="0"/>
      <w:marBottom w:val="0"/>
      <w:divBdr>
        <w:top w:val="none" w:sz="0" w:space="0" w:color="auto"/>
        <w:left w:val="none" w:sz="0" w:space="0" w:color="auto"/>
        <w:bottom w:val="none" w:sz="0" w:space="0" w:color="auto"/>
        <w:right w:val="none" w:sz="0" w:space="0" w:color="auto"/>
      </w:divBdr>
    </w:div>
    <w:div w:id="1598250111">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4ebb6647f58a42b9"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8</cp:revision>
  <dcterms:created xsi:type="dcterms:W3CDTF">2023-05-19T19:29:00Z</dcterms:created>
  <dcterms:modified xsi:type="dcterms:W3CDTF">2023-08-03T13:52:00Z</dcterms:modified>
</cp:coreProperties>
</file>