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DA" w:rsidRDefault="0022535E" w:rsidP="008216F3">
      <w:pPr>
        <w:spacing w:line="240" w:lineRule="auto"/>
        <w:jc w:val="both"/>
        <w:rPr>
          <w:b/>
          <w:sz w:val="28"/>
          <w:szCs w:val="28"/>
          <w:lang w:eastAsia="cs-CZ"/>
        </w:rPr>
      </w:pPr>
      <w:bookmarkStart w:id="0" w:name="_GoBack"/>
      <w:bookmarkEnd w:id="0"/>
      <w:r>
        <w:rPr>
          <w:b/>
          <w:sz w:val="28"/>
          <w:szCs w:val="28"/>
          <w:lang w:eastAsia="cs-CZ"/>
        </w:rPr>
        <w:t>SKUEV</w:t>
      </w:r>
      <w:r w:rsidR="00D33C51">
        <w:rPr>
          <w:b/>
          <w:sz w:val="28"/>
          <w:szCs w:val="28"/>
          <w:lang w:eastAsia="cs-CZ"/>
        </w:rPr>
        <w:t>400</w:t>
      </w:r>
      <w:r w:rsidR="00AD79AD">
        <w:rPr>
          <w:b/>
          <w:sz w:val="28"/>
          <w:szCs w:val="28"/>
          <w:lang w:eastAsia="cs-CZ"/>
        </w:rPr>
        <w:t>1</w:t>
      </w:r>
      <w:r w:rsidR="0067109F">
        <w:rPr>
          <w:b/>
          <w:sz w:val="28"/>
          <w:szCs w:val="28"/>
          <w:lang w:eastAsia="cs-CZ"/>
        </w:rPr>
        <w:t xml:space="preserve"> </w:t>
      </w:r>
      <w:r w:rsidR="00AD79AD">
        <w:rPr>
          <w:b/>
          <w:sz w:val="28"/>
          <w:szCs w:val="28"/>
          <w:lang w:eastAsia="cs-CZ"/>
        </w:rPr>
        <w:t>L</w:t>
      </w:r>
      <w:r w:rsidR="00D33C51">
        <w:rPr>
          <w:b/>
          <w:sz w:val="28"/>
          <w:szCs w:val="28"/>
          <w:lang w:eastAsia="cs-CZ"/>
        </w:rPr>
        <w:t>úky</w:t>
      </w:r>
      <w:r w:rsidR="00AD79AD">
        <w:rPr>
          <w:b/>
          <w:sz w:val="28"/>
          <w:szCs w:val="28"/>
          <w:lang w:eastAsia="cs-CZ"/>
        </w:rPr>
        <w:t xml:space="preserve"> Horného vrchu</w:t>
      </w:r>
    </w:p>
    <w:p w:rsidR="00D76319" w:rsidRDefault="00D76319" w:rsidP="000560C8">
      <w:pPr>
        <w:pStyle w:val="Zkladntext"/>
        <w:widowControl w:val="0"/>
        <w:jc w:val="both"/>
        <w:rPr>
          <w:b/>
          <w:lang w:val="sk-SK"/>
        </w:rPr>
      </w:pPr>
      <w:r w:rsidRPr="00D76319">
        <w:rPr>
          <w:b/>
        </w:rPr>
        <w:t>Ciele ochrany</w:t>
      </w:r>
      <w:r w:rsidRPr="00D76319">
        <w:rPr>
          <w:b/>
          <w:lang w:val="sk-SK"/>
        </w:rPr>
        <w:t>:</w:t>
      </w:r>
    </w:p>
    <w:p w:rsidR="006411A5" w:rsidRPr="00FA68E1" w:rsidRDefault="006411A5" w:rsidP="006411A5">
      <w:pPr>
        <w:spacing w:line="240" w:lineRule="auto"/>
        <w:rPr>
          <w:color w:val="000000"/>
          <w:szCs w:val="24"/>
        </w:rPr>
      </w:pPr>
      <w:r w:rsidRPr="00FA68E1">
        <w:rPr>
          <w:color w:val="000000"/>
          <w:szCs w:val="24"/>
        </w:rPr>
        <w:t>Zlepšenie stavu biotopu</w:t>
      </w:r>
      <w:r w:rsidRPr="00FA68E1">
        <w:rPr>
          <w:b/>
          <w:color w:val="000000"/>
          <w:szCs w:val="24"/>
        </w:rPr>
        <w:t xml:space="preserve"> Lk1 (6510) Nížinné a podhorské kosné lúky</w:t>
      </w:r>
      <w:r w:rsidRPr="00FA68E1">
        <w:rPr>
          <w:color w:val="000000"/>
          <w:szCs w:val="24"/>
        </w:rPr>
        <w:t xml:space="preserve"> za splnenia nasledovných atribútov:</w:t>
      </w:r>
    </w:p>
    <w:tbl>
      <w:tblPr>
        <w:tblW w:w="9073" w:type="dxa"/>
        <w:jc w:val="center"/>
        <w:tblLayout w:type="fixed"/>
        <w:tblCellMar>
          <w:left w:w="70" w:type="dxa"/>
          <w:right w:w="70" w:type="dxa"/>
        </w:tblCellMar>
        <w:tblLook w:val="04A0" w:firstRow="1" w:lastRow="0" w:firstColumn="1" w:lastColumn="0" w:noHBand="0" w:noVBand="1"/>
      </w:tblPr>
      <w:tblGrid>
        <w:gridCol w:w="1844"/>
        <w:gridCol w:w="1417"/>
        <w:gridCol w:w="1276"/>
        <w:gridCol w:w="4536"/>
      </w:tblGrid>
      <w:tr w:rsidR="006411A5" w:rsidRPr="00FA68E1" w:rsidTr="006411A5">
        <w:trPr>
          <w:trHeight w:val="290"/>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6411A5" w:rsidRPr="00FA68E1" w:rsidRDefault="006411A5" w:rsidP="006411A5">
            <w:pPr>
              <w:spacing w:line="240" w:lineRule="auto"/>
              <w:rPr>
                <w:rFonts w:eastAsia="Times New Roman"/>
                <w:color w:val="000000"/>
                <w:sz w:val="20"/>
                <w:szCs w:val="20"/>
              </w:rPr>
            </w:pPr>
            <w:r w:rsidRPr="00FA68E1">
              <w:rPr>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6411A5" w:rsidRPr="00FA68E1" w:rsidRDefault="006411A5" w:rsidP="006411A5">
            <w:pPr>
              <w:spacing w:line="240" w:lineRule="auto"/>
              <w:rPr>
                <w:rFonts w:eastAsia="Times New Roman"/>
                <w:color w:val="000000"/>
                <w:sz w:val="20"/>
                <w:szCs w:val="20"/>
              </w:rPr>
            </w:pPr>
            <w:r w:rsidRPr="00FA68E1">
              <w:rPr>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vAlign w:val="center"/>
          </w:tcPr>
          <w:p w:rsidR="006411A5" w:rsidRPr="00FA68E1" w:rsidRDefault="006411A5" w:rsidP="006411A5">
            <w:pPr>
              <w:spacing w:line="240" w:lineRule="auto"/>
              <w:rPr>
                <w:rFonts w:eastAsia="Times New Roman"/>
                <w:color w:val="000000"/>
                <w:sz w:val="20"/>
                <w:szCs w:val="20"/>
              </w:rPr>
            </w:pPr>
            <w:r w:rsidRPr="00FA68E1">
              <w:rPr>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vAlign w:val="center"/>
          </w:tcPr>
          <w:p w:rsidR="006411A5" w:rsidRPr="00FA68E1" w:rsidRDefault="006411A5" w:rsidP="006411A5">
            <w:pPr>
              <w:spacing w:line="240" w:lineRule="auto"/>
              <w:rPr>
                <w:rFonts w:eastAsia="Times New Roman"/>
                <w:color w:val="000000"/>
                <w:sz w:val="20"/>
                <w:szCs w:val="20"/>
              </w:rPr>
            </w:pPr>
            <w:r w:rsidRPr="00FA68E1">
              <w:rPr>
                <w:b/>
                <w:color w:val="000000"/>
                <w:sz w:val="20"/>
                <w:szCs w:val="20"/>
              </w:rPr>
              <w:t>Poznámky/Doplňujúce informácie</w:t>
            </w:r>
          </w:p>
        </w:tc>
      </w:tr>
      <w:tr w:rsidR="006411A5" w:rsidRPr="00FA68E1" w:rsidTr="006411A5">
        <w:trPr>
          <w:trHeight w:val="290"/>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123,88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Udržať existujúcu výmeru biotopu.</w:t>
            </w:r>
          </w:p>
        </w:tc>
      </w:tr>
      <w:tr w:rsidR="006411A5" w:rsidRPr="00FA68E1" w:rsidTr="006411A5">
        <w:trPr>
          <w:trHeight w:val="699"/>
          <w:jc w:val="center"/>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počet druhov/16 m</w:t>
            </w:r>
            <w:r w:rsidRPr="00FA68E1">
              <w:rPr>
                <w:rFonts w:eastAsia="Times New Roman"/>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najmenej 13 druhov</w:t>
            </w:r>
          </w:p>
        </w:tc>
        <w:tc>
          <w:tcPr>
            <w:tcW w:w="4536"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 xml:space="preserve">Charakteristické/typické druhové zloženie: </w:t>
            </w:r>
          </w:p>
          <w:p w:rsidR="006411A5" w:rsidRPr="00FA68E1" w:rsidRDefault="006411A5" w:rsidP="006411A5">
            <w:pPr>
              <w:spacing w:line="240" w:lineRule="auto"/>
              <w:rPr>
                <w:rFonts w:eastAsia="Times New Roman"/>
                <w:color w:val="000000"/>
                <w:sz w:val="20"/>
                <w:szCs w:val="20"/>
              </w:rPr>
            </w:pPr>
            <w:r w:rsidRPr="00FA68E1">
              <w:rPr>
                <w:bCs/>
                <w:i/>
                <w:iCs/>
                <w:sz w:val="20"/>
                <w:szCs w:val="20"/>
              </w:rPr>
              <w:t xml:space="preserve">Agrimonia eupatoria, Achillea millefolium agg., Arrhenatherum elatius, Avenula pubescens, </w:t>
            </w:r>
            <w:r w:rsidRPr="00FA68E1">
              <w:rPr>
                <w:i/>
                <w:iCs/>
                <w:sz w:val="20"/>
                <w:szCs w:val="20"/>
              </w:rPr>
              <w:t xml:space="preserve">Convolvulus arvensis, </w:t>
            </w:r>
            <w:r w:rsidRPr="00FA68E1">
              <w:rPr>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6411A5" w:rsidRPr="00FA68E1" w:rsidTr="006411A5">
        <w:trPr>
          <w:trHeight w:val="290"/>
          <w:jc w:val="center"/>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menej ako 30 %</w:t>
            </w:r>
          </w:p>
        </w:tc>
        <w:tc>
          <w:tcPr>
            <w:tcW w:w="4536"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Udržané nízke zastúpenie drevín a krovín.</w:t>
            </w:r>
          </w:p>
        </w:tc>
      </w:tr>
      <w:tr w:rsidR="006411A5" w:rsidRPr="00FA68E1" w:rsidTr="006411A5">
        <w:trPr>
          <w:trHeight w:val="850"/>
          <w:jc w:val="center"/>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percento pokrytia/16 m</w:t>
            </w:r>
            <w:r w:rsidRPr="00FA68E1">
              <w:rPr>
                <w:rFonts w:eastAsia="Times New Roman"/>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menej ako 15%</w:t>
            </w:r>
            <w:r w:rsidR="000D0331">
              <w:rPr>
                <w:rFonts w:eastAsia="Times New Roman"/>
                <w:color w:val="000000"/>
                <w:sz w:val="20"/>
                <w:szCs w:val="20"/>
              </w:rPr>
              <w:t xml:space="preserve"> nepôvodných a menej ako 1 % inváznych</w:t>
            </w:r>
          </w:p>
        </w:tc>
        <w:tc>
          <w:tcPr>
            <w:tcW w:w="4536" w:type="dxa"/>
            <w:tcBorders>
              <w:top w:val="nil"/>
              <w:left w:val="nil"/>
              <w:bottom w:val="single" w:sz="4" w:space="0" w:color="auto"/>
              <w:right w:val="single" w:sz="4" w:space="0" w:color="auto"/>
            </w:tcBorders>
            <w:shd w:val="clear" w:color="auto" w:fill="auto"/>
            <w:vAlign w:val="center"/>
            <w:hideMark/>
          </w:tcPr>
          <w:p w:rsidR="006411A5" w:rsidRPr="00FA68E1" w:rsidRDefault="006411A5" w:rsidP="006411A5">
            <w:pPr>
              <w:spacing w:line="240" w:lineRule="auto"/>
              <w:rPr>
                <w:rFonts w:eastAsia="Times New Roman"/>
                <w:i/>
                <w:color w:val="000000"/>
                <w:sz w:val="20"/>
                <w:szCs w:val="20"/>
              </w:rPr>
            </w:pPr>
            <w:r w:rsidRPr="00FA68E1">
              <w:rPr>
                <w:rFonts w:eastAsia="Times New Roman"/>
                <w:color w:val="000000"/>
                <w:sz w:val="20"/>
                <w:szCs w:val="20"/>
              </w:rPr>
              <w:t>Minimálne zastúpenie nepôvodných a sukcesných druhov</w:t>
            </w:r>
            <w:r w:rsidRPr="00FA68E1">
              <w:rPr>
                <w:rFonts w:eastAsia="Times New Roman"/>
                <w:i/>
                <w:color w:val="000000"/>
                <w:sz w:val="20"/>
                <w:szCs w:val="20"/>
              </w:rPr>
              <w:t xml:space="preserve"> Calamagrostis epigejos, Solidago canadensis, Solidago gigantea, Stenactis annua.</w:t>
            </w:r>
          </w:p>
        </w:tc>
      </w:tr>
    </w:tbl>
    <w:p w:rsidR="006411A5" w:rsidRPr="00FA68E1" w:rsidRDefault="006411A5" w:rsidP="006411A5">
      <w:pPr>
        <w:spacing w:line="240" w:lineRule="auto"/>
        <w:rPr>
          <w:color w:val="000000"/>
          <w:szCs w:val="24"/>
        </w:rPr>
      </w:pPr>
    </w:p>
    <w:p w:rsidR="006411A5" w:rsidRPr="00FA68E1" w:rsidRDefault="006411A5" w:rsidP="006411A5">
      <w:pPr>
        <w:spacing w:line="240" w:lineRule="auto"/>
        <w:rPr>
          <w:color w:val="000000"/>
          <w:szCs w:val="24"/>
        </w:rPr>
      </w:pPr>
      <w:r w:rsidRPr="00FA68E1">
        <w:rPr>
          <w:color w:val="000000"/>
          <w:szCs w:val="24"/>
        </w:rPr>
        <w:t xml:space="preserve">Zlepšenie stavu biotopu </w:t>
      </w:r>
      <w:r w:rsidRPr="00FA68E1">
        <w:rPr>
          <w:b/>
          <w:color w:val="000000"/>
          <w:szCs w:val="24"/>
        </w:rPr>
        <w:t xml:space="preserve">Tr1 (6210) </w:t>
      </w:r>
      <w:r w:rsidRPr="00FA68E1">
        <w:rPr>
          <w:rFonts w:eastAsia="Times New Roman"/>
          <w:b/>
          <w:szCs w:val="24"/>
        </w:rPr>
        <w:t xml:space="preserve">Suchomilné travinno-bylinné a krovinové porasty na vápnitom substráte </w:t>
      </w:r>
      <w:r w:rsidRPr="00FA68E1">
        <w:rPr>
          <w:rFonts w:eastAsia="Times New Roman"/>
          <w:szCs w:val="24"/>
        </w:rPr>
        <w:t>za splnenia nasledovných atribútov: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276"/>
        <w:gridCol w:w="4536"/>
      </w:tblGrid>
      <w:tr w:rsidR="006411A5" w:rsidRPr="00FA68E1" w:rsidTr="006411A5">
        <w:trPr>
          <w:trHeight w:val="305"/>
          <w:jc w:val="center"/>
        </w:trPr>
        <w:tc>
          <w:tcPr>
            <w:tcW w:w="1844" w:type="dxa"/>
            <w:shd w:val="clear" w:color="auto" w:fill="FFFFFF"/>
            <w:vAlign w:val="center"/>
            <w:hideMark/>
          </w:tcPr>
          <w:p w:rsidR="006411A5" w:rsidRPr="00FA68E1" w:rsidRDefault="006411A5" w:rsidP="006411A5">
            <w:pPr>
              <w:spacing w:line="240" w:lineRule="auto"/>
              <w:rPr>
                <w:rFonts w:eastAsia="Times New Roman"/>
                <w:b/>
                <w:color w:val="000000"/>
                <w:sz w:val="20"/>
                <w:szCs w:val="20"/>
              </w:rPr>
            </w:pPr>
            <w:r w:rsidRPr="00FA68E1">
              <w:rPr>
                <w:b/>
                <w:color w:val="000000"/>
                <w:sz w:val="20"/>
                <w:szCs w:val="20"/>
              </w:rPr>
              <w:t>Parameter</w:t>
            </w:r>
          </w:p>
        </w:tc>
        <w:tc>
          <w:tcPr>
            <w:tcW w:w="1417" w:type="dxa"/>
            <w:shd w:val="clear" w:color="auto" w:fill="FFFFFF"/>
            <w:vAlign w:val="center"/>
            <w:hideMark/>
          </w:tcPr>
          <w:p w:rsidR="006411A5" w:rsidRPr="00FA68E1" w:rsidRDefault="006411A5" w:rsidP="006411A5">
            <w:pPr>
              <w:spacing w:line="240" w:lineRule="auto"/>
              <w:rPr>
                <w:rFonts w:eastAsia="Times New Roman"/>
                <w:b/>
                <w:color w:val="000000"/>
                <w:sz w:val="20"/>
                <w:szCs w:val="20"/>
              </w:rPr>
            </w:pPr>
            <w:r w:rsidRPr="00FA68E1">
              <w:rPr>
                <w:b/>
                <w:color w:val="000000"/>
                <w:sz w:val="20"/>
                <w:szCs w:val="20"/>
              </w:rPr>
              <w:t>Merateľný indikátor</w:t>
            </w:r>
          </w:p>
        </w:tc>
        <w:tc>
          <w:tcPr>
            <w:tcW w:w="1276" w:type="dxa"/>
            <w:shd w:val="clear" w:color="auto" w:fill="FFFFFF"/>
            <w:vAlign w:val="center"/>
            <w:hideMark/>
          </w:tcPr>
          <w:p w:rsidR="006411A5" w:rsidRPr="00FA68E1" w:rsidRDefault="006411A5" w:rsidP="006411A5">
            <w:pPr>
              <w:spacing w:line="240" w:lineRule="auto"/>
              <w:rPr>
                <w:rFonts w:eastAsia="Times New Roman"/>
                <w:b/>
                <w:color w:val="000000"/>
                <w:sz w:val="20"/>
                <w:szCs w:val="20"/>
              </w:rPr>
            </w:pPr>
            <w:r w:rsidRPr="00FA68E1">
              <w:rPr>
                <w:b/>
                <w:color w:val="000000"/>
                <w:sz w:val="20"/>
                <w:szCs w:val="20"/>
              </w:rPr>
              <w:t>Cieľová hodnota</w:t>
            </w:r>
          </w:p>
        </w:tc>
        <w:tc>
          <w:tcPr>
            <w:tcW w:w="4536" w:type="dxa"/>
            <w:shd w:val="clear" w:color="auto" w:fill="FFFFFF"/>
            <w:vAlign w:val="center"/>
            <w:hideMark/>
          </w:tcPr>
          <w:p w:rsidR="006411A5" w:rsidRPr="00FA68E1" w:rsidRDefault="006411A5" w:rsidP="006411A5">
            <w:pPr>
              <w:spacing w:line="240" w:lineRule="auto"/>
              <w:rPr>
                <w:rFonts w:eastAsia="Times New Roman"/>
                <w:b/>
                <w:color w:val="000000"/>
                <w:sz w:val="20"/>
                <w:szCs w:val="20"/>
              </w:rPr>
            </w:pPr>
            <w:r w:rsidRPr="00FA68E1">
              <w:rPr>
                <w:b/>
                <w:color w:val="000000"/>
                <w:sz w:val="20"/>
                <w:szCs w:val="20"/>
              </w:rPr>
              <w:t>Poznámky/Doplňujúce informácie</w:t>
            </w:r>
          </w:p>
        </w:tc>
      </w:tr>
      <w:tr w:rsidR="006411A5" w:rsidRPr="00FA68E1" w:rsidTr="006411A5">
        <w:trPr>
          <w:trHeight w:val="290"/>
          <w:jc w:val="center"/>
        </w:trPr>
        <w:tc>
          <w:tcPr>
            <w:tcW w:w="1844" w:type="dxa"/>
            <w:shd w:val="clear" w:color="auto" w:fill="FFFFFF"/>
            <w:vAlign w:val="center"/>
            <w:hideMark/>
          </w:tcPr>
          <w:p w:rsidR="006411A5" w:rsidRPr="00FA68E1" w:rsidRDefault="006411A5" w:rsidP="006411A5">
            <w:pPr>
              <w:spacing w:line="240" w:lineRule="auto"/>
              <w:rPr>
                <w:rFonts w:eastAsia="Times New Roman"/>
                <w:color w:val="000000"/>
                <w:sz w:val="20"/>
                <w:szCs w:val="20"/>
              </w:rPr>
            </w:pPr>
            <w:r w:rsidRPr="00FA68E1">
              <w:rPr>
                <w:rFonts w:eastAsia="Times New Roman"/>
                <w:color w:val="000000"/>
                <w:sz w:val="20"/>
                <w:szCs w:val="20"/>
              </w:rPr>
              <w:t>Výmera biotopu</w:t>
            </w:r>
          </w:p>
        </w:tc>
        <w:tc>
          <w:tcPr>
            <w:tcW w:w="1417"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 xml:space="preserve">ha </w:t>
            </w:r>
          </w:p>
        </w:tc>
        <w:tc>
          <w:tcPr>
            <w:tcW w:w="1276"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19,43</w:t>
            </w:r>
          </w:p>
        </w:tc>
        <w:tc>
          <w:tcPr>
            <w:tcW w:w="4536"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color w:val="000000"/>
                <w:sz w:val="20"/>
                <w:szCs w:val="20"/>
              </w:rPr>
              <w:t>Udržať existujúcu výmeru biotopu.</w:t>
            </w:r>
          </w:p>
        </w:tc>
      </w:tr>
      <w:tr w:rsidR="006411A5" w:rsidRPr="00FA68E1" w:rsidTr="006411A5">
        <w:trPr>
          <w:trHeight w:val="2900"/>
          <w:jc w:val="center"/>
        </w:trPr>
        <w:tc>
          <w:tcPr>
            <w:tcW w:w="1844"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Zastúpenie charakteristických druhov</w:t>
            </w:r>
          </w:p>
        </w:tc>
        <w:tc>
          <w:tcPr>
            <w:tcW w:w="1417"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počet druhov/16 m2</w:t>
            </w:r>
          </w:p>
        </w:tc>
        <w:tc>
          <w:tcPr>
            <w:tcW w:w="1276"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najmenej 15 druhov</w:t>
            </w:r>
          </w:p>
        </w:tc>
        <w:tc>
          <w:tcPr>
            <w:tcW w:w="4536" w:type="dxa"/>
            <w:shd w:val="clear" w:color="auto" w:fill="FFFFFF"/>
            <w:vAlign w:val="center"/>
            <w:hideMark/>
          </w:tcPr>
          <w:p w:rsidR="006411A5" w:rsidRPr="00FA68E1" w:rsidRDefault="006411A5" w:rsidP="006411A5">
            <w:pPr>
              <w:spacing w:line="240" w:lineRule="auto"/>
              <w:rPr>
                <w:rFonts w:eastAsia="Times New Roman"/>
                <w:i/>
                <w:sz w:val="20"/>
                <w:szCs w:val="20"/>
              </w:rPr>
            </w:pPr>
            <w:r w:rsidRPr="00FA68E1">
              <w:rPr>
                <w:rFonts w:eastAsia="Times New Roman"/>
                <w:sz w:val="20"/>
                <w:szCs w:val="20"/>
              </w:rPr>
              <w:t xml:space="preserve">Charakteristické/typické druhové zloženie: </w:t>
            </w:r>
            <w:r w:rsidRPr="00FA68E1">
              <w:rPr>
                <w:rFonts w:eastAsia="Times New Roman"/>
                <w:i/>
                <w:sz w:val="20"/>
                <w:szCs w:val="20"/>
              </w:rPr>
              <w:t xml:space="preserve"> </w:t>
            </w:r>
          </w:p>
          <w:p w:rsidR="006411A5" w:rsidRPr="00FA68E1" w:rsidRDefault="006411A5" w:rsidP="006411A5">
            <w:pPr>
              <w:spacing w:line="240" w:lineRule="auto"/>
              <w:rPr>
                <w:rFonts w:eastAsia="Times New Roman"/>
                <w:sz w:val="20"/>
                <w:szCs w:val="20"/>
              </w:rPr>
            </w:pPr>
            <w:r w:rsidRPr="00FA68E1">
              <w:rPr>
                <w:bCs/>
                <w:i/>
                <w:iCs/>
                <w:sz w:val="20"/>
                <w:szCs w:val="20"/>
              </w:rPr>
              <w:t xml:space="preserve">Agrimonia eupatoria, Achillea millefolium agg., Arrhenatherum elatius, </w:t>
            </w:r>
            <w:r w:rsidRPr="00FA68E1">
              <w:rPr>
                <w:i/>
                <w:iCs/>
                <w:sz w:val="20"/>
                <w:szCs w:val="20"/>
              </w:rPr>
              <w:t xml:space="preserve">Asperula cynanchica, </w:t>
            </w:r>
            <w:r w:rsidRPr="00FA68E1">
              <w:rPr>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6411A5" w:rsidRPr="00FA68E1" w:rsidTr="006411A5">
        <w:trPr>
          <w:trHeight w:val="290"/>
          <w:jc w:val="center"/>
        </w:trPr>
        <w:tc>
          <w:tcPr>
            <w:tcW w:w="1844"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lastRenderedPageBreak/>
              <w:t>Vertikálna štruktúra biotopu</w:t>
            </w:r>
          </w:p>
        </w:tc>
        <w:tc>
          <w:tcPr>
            <w:tcW w:w="1417"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percento pokrytia drevín a krovín/plocha biotopu</w:t>
            </w:r>
          </w:p>
        </w:tc>
        <w:tc>
          <w:tcPr>
            <w:tcW w:w="1276"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menej ako 40 %</w:t>
            </w:r>
          </w:p>
        </w:tc>
        <w:tc>
          <w:tcPr>
            <w:tcW w:w="4536"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color w:val="000000"/>
                <w:sz w:val="20"/>
                <w:szCs w:val="20"/>
              </w:rPr>
              <w:t>Dosiahnuté nízke zastúpenie drevín v biotope.</w:t>
            </w:r>
          </w:p>
        </w:tc>
      </w:tr>
      <w:tr w:rsidR="006411A5" w:rsidRPr="00FA68E1" w:rsidTr="006411A5">
        <w:trPr>
          <w:trHeight w:val="850"/>
          <w:jc w:val="center"/>
        </w:trPr>
        <w:tc>
          <w:tcPr>
            <w:tcW w:w="1844"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Zastúpenie alochtónnych/</w:t>
            </w:r>
          </w:p>
          <w:p w:rsidR="006411A5" w:rsidRPr="00FA68E1" w:rsidRDefault="006411A5" w:rsidP="006411A5">
            <w:pPr>
              <w:spacing w:line="240" w:lineRule="auto"/>
              <w:rPr>
                <w:rFonts w:eastAsia="Times New Roman"/>
                <w:sz w:val="20"/>
                <w:szCs w:val="20"/>
              </w:rPr>
            </w:pPr>
            <w:r w:rsidRPr="00FA68E1">
              <w:rPr>
                <w:rFonts w:eastAsia="Times New Roman"/>
                <w:sz w:val="20"/>
                <w:szCs w:val="20"/>
              </w:rPr>
              <w:t>inváznych/invázne sa správajúcich druhov</w:t>
            </w:r>
          </w:p>
        </w:tc>
        <w:tc>
          <w:tcPr>
            <w:tcW w:w="1417"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percento pokrytia/16 m2</w:t>
            </w:r>
          </w:p>
        </w:tc>
        <w:tc>
          <w:tcPr>
            <w:tcW w:w="1276"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sz w:val="20"/>
                <w:szCs w:val="20"/>
              </w:rPr>
              <w:t>menej ako 5%</w:t>
            </w:r>
            <w:r w:rsidR="000D0331">
              <w:rPr>
                <w:rFonts w:eastAsia="Times New Roman"/>
                <w:sz w:val="20"/>
                <w:szCs w:val="20"/>
              </w:rPr>
              <w:t xml:space="preserve"> </w:t>
            </w:r>
            <w:r w:rsidR="000D0331">
              <w:rPr>
                <w:rFonts w:eastAsia="Times New Roman"/>
                <w:color w:val="000000"/>
                <w:sz w:val="20"/>
                <w:szCs w:val="20"/>
              </w:rPr>
              <w:t>nepôvodných a menej ako 1 % inváznych</w:t>
            </w:r>
          </w:p>
        </w:tc>
        <w:tc>
          <w:tcPr>
            <w:tcW w:w="4536" w:type="dxa"/>
            <w:shd w:val="clear" w:color="auto" w:fill="FFFFFF"/>
            <w:vAlign w:val="center"/>
            <w:hideMark/>
          </w:tcPr>
          <w:p w:rsidR="006411A5" w:rsidRPr="00FA68E1" w:rsidRDefault="006411A5" w:rsidP="006411A5">
            <w:pPr>
              <w:spacing w:line="240" w:lineRule="auto"/>
              <w:rPr>
                <w:rFonts w:eastAsia="Times New Roman"/>
                <w:sz w:val="20"/>
                <w:szCs w:val="20"/>
              </w:rPr>
            </w:pPr>
            <w:r w:rsidRPr="00FA68E1">
              <w:rPr>
                <w:rFonts w:eastAsia="Times New Roman"/>
                <w:color w:val="000000"/>
                <w:sz w:val="20"/>
                <w:szCs w:val="20"/>
              </w:rPr>
              <w:t>Minimálne zastúpenie expanzívnych alebo inváznych druhov</w:t>
            </w:r>
            <w:r w:rsidRPr="00FA68E1">
              <w:rPr>
                <w:rFonts w:eastAsia="Times New Roman"/>
                <w:i/>
                <w:sz w:val="20"/>
                <w:szCs w:val="20"/>
              </w:rPr>
              <w:t xml:space="preserve"> Calamagrostis epigejos,</w:t>
            </w:r>
            <w:r w:rsidRPr="00FA68E1">
              <w:rPr>
                <w:rFonts w:eastAsia="Times New Roman"/>
                <w:i/>
                <w:color w:val="000000"/>
                <w:sz w:val="20"/>
                <w:szCs w:val="20"/>
              </w:rPr>
              <w:t xml:space="preserve"> Solidago canadensis, Solidago gigantea</w:t>
            </w:r>
            <w:r w:rsidRPr="00FA68E1">
              <w:rPr>
                <w:rFonts w:eastAsia="Times New Roman"/>
                <w:i/>
                <w:sz w:val="20"/>
                <w:szCs w:val="20"/>
              </w:rPr>
              <w:t>.</w:t>
            </w:r>
          </w:p>
        </w:tc>
      </w:tr>
    </w:tbl>
    <w:p w:rsidR="006411A5" w:rsidRPr="00FA68E1" w:rsidRDefault="006411A5" w:rsidP="006411A5">
      <w:pPr>
        <w:spacing w:line="240" w:lineRule="auto"/>
        <w:rPr>
          <w:color w:val="000000"/>
          <w:sz w:val="20"/>
          <w:szCs w:val="20"/>
        </w:rPr>
      </w:pPr>
    </w:p>
    <w:p w:rsidR="00C04683" w:rsidRDefault="00C04683" w:rsidP="00AD79AD">
      <w:pPr>
        <w:spacing w:line="240" w:lineRule="auto"/>
        <w:jc w:val="both"/>
      </w:pPr>
    </w:p>
    <w:sectPr w:rsidR="00C04683" w:rsidSect="00FC1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003D"/>
    <w:rsid w:val="00022BC0"/>
    <w:rsid w:val="000560C8"/>
    <w:rsid w:val="000759AC"/>
    <w:rsid w:val="000D0331"/>
    <w:rsid w:val="000E05DA"/>
    <w:rsid w:val="000E4287"/>
    <w:rsid w:val="00140708"/>
    <w:rsid w:val="001560D3"/>
    <w:rsid w:val="00171BEC"/>
    <w:rsid w:val="00187945"/>
    <w:rsid w:val="001E6775"/>
    <w:rsid w:val="00203B08"/>
    <w:rsid w:val="0022535E"/>
    <w:rsid w:val="00240459"/>
    <w:rsid w:val="002A6337"/>
    <w:rsid w:val="002B021B"/>
    <w:rsid w:val="002E60DF"/>
    <w:rsid w:val="003509FA"/>
    <w:rsid w:val="00382B18"/>
    <w:rsid w:val="003E7D17"/>
    <w:rsid w:val="003E7F90"/>
    <w:rsid w:val="00476AF7"/>
    <w:rsid w:val="004B5E26"/>
    <w:rsid w:val="004E77C4"/>
    <w:rsid w:val="004F7434"/>
    <w:rsid w:val="00526DB1"/>
    <w:rsid w:val="00562BB2"/>
    <w:rsid w:val="0057423C"/>
    <w:rsid w:val="005B68C6"/>
    <w:rsid w:val="005C00AB"/>
    <w:rsid w:val="0060488B"/>
    <w:rsid w:val="006411A5"/>
    <w:rsid w:val="0067109F"/>
    <w:rsid w:val="006767B4"/>
    <w:rsid w:val="00687A45"/>
    <w:rsid w:val="006A695F"/>
    <w:rsid w:val="00713326"/>
    <w:rsid w:val="00723E95"/>
    <w:rsid w:val="007A62DC"/>
    <w:rsid w:val="008216F3"/>
    <w:rsid w:val="008757A2"/>
    <w:rsid w:val="008C230F"/>
    <w:rsid w:val="008D7440"/>
    <w:rsid w:val="00936410"/>
    <w:rsid w:val="009667BE"/>
    <w:rsid w:val="00A43B93"/>
    <w:rsid w:val="00A4711A"/>
    <w:rsid w:val="00A5789F"/>
    <w:rsid w:val="00A71A8A"/>
    <w:rsid w:val="00A81817"/>
    <w:rsid w:val="00AA6F82"/>
    <w:rsid w:val="00AB2A2D"/>
    <w:rsid w:val="00AD79AD"/>
    <w:rsid w:val="00B62826"/>
    <w:rsid w:val="00BA37A0"/>
    <w:rsid w:val="00BF1520"/>
    <w:rsid w:val="00C04683"/>
    <w:rsid w:val="00C25107"/>
    <w:rsid w:val="00C65C57"/>
    <w:rsid w:val="00C8239E"/>
    <w:rsid w:val="00C9571F"/>
    <w:rsid w:val="00CA60BD"/>
    <w:rsid w:val="00CE0A83"/>
    <w:rsid w:val="00CF456D"/>
    <w:rsid w:val="00D33C51"/>
    <w:rsid w:val="00D45B49"/>
    <w:rsid w:val="00D76319"/>
    <w:rsid w:val="00D77700"/>
    <w:rsid w:val="00DA19FF"/>
    <w:rsid w:val="00E00245"/>
    <w:rsid w:val="00E054A3"/>
    <w:rsid w:val="00E64259"/>
    <w:rsid w:val="00EC67A6"/>
    <w:rsid w:val="00EE1D73"/>
    <w:rsid w:val="00F0318A"/>
    <w:rsid w:val="00F436A8"/>
    <w:rsid w:val="00F97F55"/>
    <w:rsid w:val="00FB476B"/>
    <w:rsid w:val="00FC1FD0"/>
    <w:rsid w:val="2905FBED"/>
    <w:rsid w:val="3910C07A"/>
    <w:rsid w:val="57A9C4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AAE02-B50B-48E1-87F6-A488EE9F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pPr>
      <w:spacing w:after="160" w:line="259" w:lineRule="auto"/>
    </w:pPr>
    <w:rPr>
      <w:rFonts w:ascii="Times New Roman" w:eastAsia="PMingLiU" w:hAnsi="Times New Roman"/>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lang w:val="x-none"/>
    </w:rPr>
  </w:style>
  <w:style w:type="character" w:customStyle="1" w:styleId="TextkomentraChar">
    <w:name w:val="Text komentára Char"/>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cp:lastModifiedBy>Snopko</cp:lastModifiedBy>
  <cp:revision>2</cp:revision>
  <dcterms:created xsi:type="dcterms:W3CDTF">2025-06-17T09:47:00Z</dcterms:created>
  <dcterms:modified xsi:type="dcterms:W3CDTF">2025-06-17T09:47:00Z</dcterms:modified>
</cp:coreProperties>
</file>