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DA" w:rsidRDefault="0022535E" w:rsidP="008216F3">
      <w:pPr>
        <w:spacing w:line="240" w:lineRule="auto"/>
        <w:jc w:val="both"/>
        <w:rPr>
          <w:b/>
          <w:sz w:val="28"/>
          <w:szCs w:val="28"/>
          <w:lang w:eastAsia="cs-CZ"/>
        </w:rPr>
      </w:pPr>
      <w:bookmarkStart w:id="0" w:name="_GoBack"/>
      <w:bookmarkEnd w:id="0"/>
      <w:r>
        <w:rPr>
          <w:b/>
          <w:sz w:val="28"/>
          <w:szCs w:val="28"/>
          <w:lang w:eastAsia="cs-CZ"/>
        </w:rPr>
        <w:t>SKUEV</w:t>
      </w:r>
      <w:r w:rsidR="0067109F">
        <w:rPr>
          <w:b/>
          <w:sz w:val="28"/>
          <w:szCs w:val="28"/>
          <w:lang w:eastAsia="cs-CZ"/>
        </w:rPr>
        <w:t>40</w:t>
      </w:r>
      <w:r w:rsidR="002E7B06">
        <w:rPr>
          <w:b/>
          <w:sz w:val="28"/>
          <w:szCs w:val="28"/>
          <w:lang w:eastAsia="cs-CZ"/>
        </w:rPr>
        <w:t>03 Cifra</w:t>
      </w:r>
    </w:p>
    <w:p w:rsidR="00D76319" w:rsidRDefault="00D76319" w:rsidP="000560C8">
      <w:pPr>
        <w:pStyle w:val="Zkladntext"/>
        <w:widowControl w:val="0"/>
        <w:jc w:val="both"/>
        <w:rPr>
          <w:b/>
          <w:lang w:val="sk-SK"/>
        </w:rPr>
      </w:pPr>
      <w:r w:rsidRPr="00D76319">
        <w:rPr>
          <w:b/>
        </w:rPr>
        <w:t>Ciele ochrany</w:t>
      </w:r>
      <w:r w:rsidRPr="00D76319">
        <w:rPr>
          <w:b/>
          <w:lang w:val="sk-SK"/>
        </w:rPr>
        <w:t>:</w:t>
      </w:r>
    </w:p>
    <w:p w:rsidR="000E05DA" w:rsidRPr="00626A09" w:rsidRDefault="002E7B06" w:rsidP="0060488B">
      <w:pPr>
        <w:pStyle w:val="Zkladntext"/>
        <w:widowControl w:val="0"/>
        <w:jc w:val="both"/>
      </w:pPr>
      <w:r>
        <w:rPr>
          <w:lang w:val="sk-SK"/>
        </w:rPr>
        <w:t>Zlepšenie</w:t>
      </w:r>
      <w:r w:rsidR="00D45B49">
        <w:rPr>
          <w:lang w:val="sk-SK"/>
        </w:rPr>
        <w:t xml:space="preserve"> </w:t>
      </w:r>
      <w:r w:rsidR="000E05DA">
        <w:rPr>
          <w:lang w:val="sk-SK"/>
        </w:rPr>
        <w:t>stav</w:t>
      </w:r>
      <w:r w:rsidR="009667BE">
        <w:rPr>
          <w:lang w:val="sk-SK"/>
        </w:rPr>
        <w:t>u</w:t>
      </w:r>
      <w:r w:rsidR="000E05DA" w:rsidRPr="00626A09">
        <w:t xml:space="preserve"> biotop</w:t>
      </w:r>
      <w:r w:rsidR="000E05DA">
        <w:rPr>
          <w:lang w:val="sk-SK"/>
        </w:rPr>
        <w:t>u</w:t>
      </w:r>
      <w:r w:rsidR="000E05DA" w:rsidRPr="00626A09">
        <w:t xml:space="preserve"> </w:t>
      </w:r>
      <w:r w:rsidR="000E05DA" w:rsidRPr="000E05DA">
        <w:rPr>
          <w:b/>
        </w:rPr>
        <w:t xml:space="preserve">Tr1 </w:t>
      </w:r>
      <w:r w:rsidR="000E05DA" w:rsidRPr="000E05DA">
        <w:rPr>
          <w:b/>
          <w:bCs/>
          <w:shd w:val="clear" w:color="auto" w:fill="FFFFFF"/>
        </w:rPr>
        <w:t>(</w:t>
      </w:r>
      <w:r w:rsidR="000E05DA" w:rsidRPr="000E05DA">
        <w:rPr>
          <w:b/>
        </w:rPr>
        <w:t>6210*</w:t>
      </w:r>
      <w:r w:rsidR="000E05DA" w:rsidRPr="000E05DA">
        <w:rPr>
          <w:b/>
          <w:bCs/>
          <w:shd w:val="clear" w:color="auto" w:fill="FFFFFF"/>
        </w:rPr>
        <w:t xml:space="preserve">) </w:t>
      </w:r>
      <w:r w:rsidR="000E05DA" w:rsidRPr="000E05DA">
        <w:rPr>
          <w:b/>
        </w:rPr>
        <w:t xml:space="preserve">Suchomilné travinno-bylinné a krovinové porasty na vápnitom podloží s výskytom </w:t>
      </w:r>
      <w:proofErr w:type="spellStart"/>
      <w:r w:rsidR="000E05DA" w:rsidRPr="000E05DA">
        <w:rPr>
          <w:b/>
        </w:rPr>
        <w:t>vstavačovitých</w:t>
      </w:r>
      <w:proofErr w:type="spellEnd"/>
      <w:r w:rsidR="000E05DA" w:rsidRPr="00626A09">
        <w:rPr>
          <w:bCs/>
          <w:shd w:val="clear" w:color="auto" w:fill="FFFFFF"/>
        </w:rPr>
        <w:t xml:space="preserve">, </w:t>
      </w:r>
      <w:r w:rsidR="000E05DA">
        <w:t>z</w:t>
      </w:r>
      <w:r w:rsidR="000E05DA" w:rsidRPr="00626A09">
        <w:t>a splnenia nasledovných atribútov</w:t>
      </w:r>
      <w:r w:rsidR="000E05DA" w:rsidRPr="00626A09">
        <w:rPr>
          <w:color w:val="000000"/>
          <w:shd w:val="clear" w:color="auto" w:fill="FFFFFF"/>
        </w:rPr>
        <w:t xml:space="preserve">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417"/>
        <w:gridCol w:w="4536"/>
      </w:tblGrid>
      <w:tr w:rsidR="000E05DA" w:rsidRPr="003509FA" w:rsidTr="57A9C4E5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Merateľný indikátor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DA" w:rsidRPr="003509FA" w:rsidRDefault="000E05DA" w:rsidP="000560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Cieľová hodnota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3509FA">
              <w:rPr>
                <w:b/>
                <w:color w:val="000000"/>
                <w:sz w:val="18"/>
                <w:szCs w:val="18"/>
              </w:rPr>
              <w:t>Poznámky/Doplňujúce informácie</w:t>
            </w:r>
          </w:p>
        </w:tc>
      </w:tr>
      <w:tr w:rsidR="000E05DA" w:rsidRPr="003509FA" w:rsidTr="57A9C4E5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3509FA">
              <w:rPr>
                <w:rFonts w:eastAsia="Times New Roman"/>
                <w:color w:val="000000"/>
                <w:sz w:val="18"/>
                <w:szCs w:val="18"/>
              </w:rPr>
              <w:t>Výmera biotopu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 xml:space="preserve">ha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2E7B06" w:rsidP="002B021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18,9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Udržať výmeru biotopu v území</w:t>
            </w:r>
          </w:p>
        </w:tc>
      </w:tr>
      <w:tr w:rsidR="000E05DA" w:rsidRPr="003509FA" w:rsidTr="57A9C4E5">
        <w:trPr>
          <w:trHeight w:val="29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Zastúpenie charakteristických druhov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8216F3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počet druhov/16</w:t>
            </w:r>
            <w:r w:rsidR="000E05DA" w:rsidRPr="003509FA">
              <w:rPr>
                <w:rFonts w:eastAsia="Times New Roman"/>
                <w:sz w:val="18"/>
                <w:szCs w:val="18"/>
              </w:rPr>
              <w:t xml:space="preserve">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najmenej 10 druhov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57A9C4E5" w:rsidP="008216F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57A9C4E5">
              <w:rPr>
                <w:rFonts w:eastAsia="Times New Roman"/>
                <w:sz w:val="18"/>
                <w:szCs w:val="18"/>
              </w:rPr>
              <w:t xml:space="preserve">Charakteristické/typické druhové zloženie: 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Acosta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rhenana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Anthericum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ramosum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Asperula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cynanchica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Arabis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hirsuta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Brachypodium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pinnatum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Bromus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erectus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Carex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michelii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Carex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montana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Carex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tomentosa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Cirsium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pannonicum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Colymbada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scabiosa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Dorycnium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penthaphyllum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agg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.,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Festuca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rupicola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Filipendula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vulgaris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Galium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verum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Inula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ensifolia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Koeleria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macrantha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Medicago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lupulina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Linum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catharticum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Ononis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spinosa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Pimpinella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saxifraga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Poa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angustifolia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Potentilla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arenaria,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Potentilla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heptaphylla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Prunella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laciniata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Salvia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pratensis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Sanguisorba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minor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Scabiosa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ochroleuca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Securigera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varia,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Teucryum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chmaedrys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Thesium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linophyllon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Thymus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pannonicus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Trifolium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alpestre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Trifolium</w:t>
            </w:r>
            <w:proofErr w:type="spellEnd"/>
            <w:r w:rsidRPr="57A9C4E5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57A9C4E5">
              <w:rPr>
                <w:rFonts w:eastAsia="Times New Roman"/>
                <w:sz w:val="18"/>
                <w:szCs w:val="18"/>
              </w:rPr>
              <w:t>montanum</w:t>
            </w:r>
            <w:proofErr w:type="spellEnd"/>
          </w:p>
        </w:tc>
      </w:tr>
      <w:tr w:rsidR="000E05DA" w:rsidRPr="003509FA" w:rsidTr="57A9C4E5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Vertikálna štruktúra biotopu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percento pokrytia drevín a krovín/plocha biotopu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menej ako 40%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5DA" w:rsidRPr="003509FA" w:rsidRDefault="000E05DA" w:rsidP="000560C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Eliminovať zastúpenie drevín a krovín</w:t>
            </w:r>
          </w:p>
        </w:tc>
      </w:tr>
      <w:tr w:rsidR="0067109F" w:rsidRPr="003509FA" w:rsidTr="0067109F">
        <w:trPr>
          <w:trHeight w:val="8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09F" w:rsidRPr="003509FA" w:rsidRDefault="0067109F" w:rsidP="008216F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 xml:space="preserve">Zastúpenie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alochtónnych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>/inváznych/invázne sa správajúcich druhov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09F" w:rsidRPr="003509FA" w:rsidRDefault="0067109F" w:rsidP="008216F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3509FA">
              <w:rPr>
                <w:rFonts w:eastAsia="Times New Roman"/>
                <w:sz w:val="18"/>
                <w:szCs w:val="18"/>
              </w:rPr>
              <w:t>percento pokrytia/25 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09F" w:rsidRPr="0067109F" w:rsidRDefault="0067109F" w:rsidP="0067109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7109F">
              <w:rPr>
                <w:rFonts w:eastAsia="Times New Roman"/>
                <w:sz w:val="18"/>
                <w:szCs w:val="18"/>
              </w:rPr>
              <w:t>menej ako 15% nepôvodných a menej ako 1 % inváznych druhov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09F" w:rsidRPr="003509FA" w:rsidRDefault="0067109F" w:rsidP="008216F3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Žiadny výskyt inváznych druhov, zastúpenie druhov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Arrhenatherum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elatius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Calamagrostis</w:t>
            </w:r>
            <w:proofErr w:type="spellEnd"/>
            <w:r w:rsidRPr="003509FA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3509FA">
              <w:rPr>
                <w:rFonts w:eastAsia="Times New Roman"/>
                <w:sz w:val="18"/>
                <w:szCs w:val="18"/>
              </w:rPr>
              <w:t>epigejos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do 15 %.</w:t>
            </w:r>
          </w:p>
        </w:tc>
      </w:tr>
    </w:tbl>
    <w:p w:rsidR="000E05DA" w:rsidRDefault="000E05DA" w:rsidP="000E05DA">
      <w:pPr>
        <w:spacing w:line="240" w:lineRule="auto"/>
        <w:ind w:left="360"/>
        <w:jc w:val="both"/>
      </w:pPr>
    </w:p>
    <w:p w:rsidR="002E7B06" w:rsidRPr="00B6615B" w:rsidRDefault="002E7B06" w:rsidP="002E7B06">
      <w:pPr>
        <w:rPr>
          <w:szCs w:val="24"/>
        </w:rPr>
      </w:pPr>
      <w:r w:rsidRPr="00B6615B">
        <w:rPr>
          <w:szCs w:val="24"/>
        </w:rPr>
        <w:t xml:space="preserve">Zlepšenie stavu biotopu druhu </w:t>
      </w:r>
      <w:r w:rsidRPr="00B6615B">
        <w:rPr>
          <w:b/>
          <w:szCs w:val="24"/>
        </w:rPr>
        <w:t>Kr2 (5130) Porasty borievky obyčajnej</w:t>
      </w:r>
      <w:r w:rsidRPr="00B6615B">
        <w:rPr>
          <w:szCs w:val="24"/>
        </w:rPr>
        <w:t xml:space="preserve"> za splnenia nasledovných atribútov:</w:t>
      </w:r>
    </w:p>
    <w:tbl>
      <w:tblPr>
        <w:tblW w:w="943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1141"/>
        <w:gridCol w:w="1449"/>
        <w:gridCol w:w="4253"/>
      </w:tblGrid>
      <w:tr w:rsidR="002E7B06" w:rsidRPr="002E7B06" w:rsidTr="002E7B06">
        <w:trPr>
          <w:trHeight w:val="705"/>
        </w:trPr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7B06">
              <w:rPr>
                <w:rFonts w:eastAsia="Times New Roman"/>
                <w:b/>
                <w:sz w:val="18"/>
                <w:szCs w:val="18"/>
              </w:rPr>
              <w:t>Parameter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7B06">
              <w:rPr>
                <w:rFonts w:eastAsia="Times New Roman"/>
                <w:b/>
                <w:sz w:val="18"/>
                <w:szCs w:val="18"/>
              </w:rPr>
              <w:t>Merateľný indikátor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7B06">
              <w:rPr>
                <w:rFonts w:eastAsia="Times New Roman"/>
                <w:b/>
                <w:sz w:val="18"/>
                <w:szCs w:val="18"/>
              </w:rPr>
              <w:t>Cieľová hodnota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E7B06">
              <w:rPr>
                <w:rFonts w:eastAsia="Times New Roman"/>
                <w:b/>
                <w:sz w:val="18"/>
                <w:szCs w:val="18"/>
              </w:rPr>
              <w:t>Poznámky/Doplňujúce informácie</w:t>
            </w:r>
          </w:p>
        </w:tc>
      </w:tr>
      <w:tr w:rsidR="002E7B06" w:rsidRPr="002E7B06" w:rsidTr="002E7B06">
        <w:trPr>
          <w:trHeight w:val="290"/>
        </w:trPr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Výmera biotopu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ha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0,67</w:t>
            </w:r>
            <w:r w:rsidRPr="002E7B06">
              <w:rPr>
                <w:rFonts w:eastAsia="Times New Roman"/>
                <w:sz w:val="18"/>
                <w:szCs w:val="18"/>
              </w:rPr>
              <w:t xml:space="preserve"> ha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Udržať výmeru biotopu</w:t>
            </w:r>
          </w:p>
        </w:tc>
      </w:tr>
      <w:tr w:rsidR="002E7B06" w:rsidRPr="002E7B06" w:rsidTr="002E7B06">
        <w:trPr>
          <w:trHeight w:val="2320"/>
        </w:trPr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Zastúpenie charakteristických druhov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počet druhov/16 m</w:t>
            </w:r>
            <w:r w:rsidRPr="002E7B06"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najmenej 10 druhov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 xml:space="preserve">Charakteristické/typické druhové zloženie: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Agrimonia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eupatoria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Achillea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millefolium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agg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.,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Anthyllis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vulneraria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Arrhenatherum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elatius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Asperula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cynanchica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Berberis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vulgaris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Brachypodium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pinnatum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Briza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media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Bromus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erectus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Carex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humilis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Carex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tomentosa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Carlina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acaulis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Carlina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vulgaris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Colymbada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scabiosa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Dianthus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carthusianorum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Festuca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rupicola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Festuca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valesiaca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Genista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sp.,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Hypericum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perforatum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Juniperus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communis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Leontodon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hispidus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Pimpinella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saxifraga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Potentilla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heptaphylla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Salvia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pratensis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S.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verticillata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Sanguisorba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minor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Scabiosa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ochroleuca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Teucrium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chamaedrys</w:t>
            </w:r>
            <w:proofErr w:type="spellEnd"/>
          </w:p>
        </w:tc>
      </w:tr>
      <w:tr w:rsidR="002E7B06" w:rsidRPr="002E7B06" w:rsidTr="002E7B06">
        <w:trPr>
          <w:trHeight w:val="870"/>
        </w:trPr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Vertikálna štruktúra biotopu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percento pokrytia drevín a krovín/plocha biotopu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30 –                                                                 70 %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Stredne až husto zapojené porasty borievky obyčajnej, ktoré sa vytvorili na opustených pasienkoch alebo na extenzívne pasených plochách. V prípade zapájania porastov je potrebné odstraňovať/prerieďovať dreviny.</w:t>
            </w:r>
          </w:p>
        </w:tc>
      </w:tr>
      <w:tr w:rsidR="002E7B06" w:rsidRPr="002E7B06" w:rsidTr="002E7B06">
        <w:trPr>
          <w:trHeight w:val="850"/>
        </w:trPr>
        <w:tc>
          <w:tcPr>
            <w:tcW w:w="2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lastRenderedPageBreak/>
              <w:t xml:space="preserve">Zastúpenie </w:t>
            </w:r>
            <w:proofErr w:type="spellStart"/>
            <w:r w:rsidRPr="002E7B06">
              <w:rPr>
                <w:rFonts w:eastAsia="Times New Roman"/>
                <w:sz w:val="18"/>
                <w:szCs w:val="18"/>
              </w:rPr>
              <w:t>alochtónnych</w:t>
            </w:r>
            <w:proofErr w:type="spellEnd"/>
            <w:r w:rsidRPr="002E7B06">
              <w:rPr>
                <w:rFonts w:eastAsia="Times New Roman"/>
                <w:sz w:val="18"/>
                <w:szCs w:val="18"/>
              </w:rPr>
              <w:t>/inváznych/invázne sa správajúcich druhov</w:t>
            </w:r>
          </w:p>
        </w:tc>
        <w:tc>
          <w:tcPr>
            <w:tcW w:w="1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percento pokrytia/25 m</w:t>
            </w:r>
            <w:r w:rsidRPr="002E7B06">
              <w:rPr>
                <w:rFonts w:eastAsia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menej ako 1 %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7B06" w:rsidRPr="002E7B06" w:rsidRDefault="002E7B06" w:rsidP="002E7B0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B06">
              <w:rPr>
                <w:rFonts w:eastAsia="Times New Roman"/>
                <w:sz w:val="18"/>
                <w:szCs w:val="18"/>
              </w:rPr>
              <w:t>Minimálny výskyt nepôvodných invázne sa správajúcich druhov (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Solidago</w:t>
            </w:r>
            <w:proofErr w:type="spellEnd"/>
            <w:r w:rsidRPr="002E7B06">
              <w:rPr>
                <w:rFonts w:eastAsia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E7B06">
              <w:rPr>
                <w:rFonts w:eastAsia="Times New Roman"/>
                <w:i/>
                <w:sz w:val="18"/>
                <w:szCs w:val="18"/>
              </w:rPr>
              <w:t>canadensis</w:t>
            </w:r>
            <w:proofErr w:type="spellEnd"/>
            <w:r w:rsidRPr="002E7B06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2E7B06" w:rsidRPr="002E7B06" w:rsidRDefault="002E7B06" w:rsidP="002E7B06">
      <w:pPr>
        <w:rPr>
          <w:sz w:val="18"/>
          <w:szCs w:val="18"/>
        </w:rPr>
      </w:pPr>
    </w:p>
    <w:p w:rsidR="008208F7" w:rsidRDefault="008208F7" w:rsidP="008208F7">
      <w:pPr>
        <w:spacing w:line="240" w:lineRule="auto"/>
        <w:ind w:left="-284"/>
        <w:rPr>
          <w:color w:val="000000"/>
        </w:rPr>
      </w:pPr>
      <w:r>
        <w:rPr>
          <w:color w:val="000000"/>
          <w:szCs w:val="24"/>
        </w:rPr>
        <w:t xml:space="preserve">Zachovanie stavu druhu </w:t>
      </w:r>
      <w:proofErr w:type="spellStart"/>
      <w:r>
        <w:rPr>
          <w:b/>
          <w:i/>
          <w:color w:val="000000"/>
          <w:szCs w:val="24"/>
        </w:rPr>
        <w:t>Spermophilus</w:t>
      </w:r>
      <w:proofErr w:type="spellEnd"/>
      <w:r>
        <w:rPr>
          <w:b/>
          <w:i/>
          <w:color w:val="000000"/>
          <w:szCs w:val="24"/>
        </w:rPr>
        <w:t xml:space="preserve"> </w:t>
      </w:r>
      <w:proofErr w:type="spellStart"/>
      <w:r>
        <w:rPr>
          <w:b/>
          <w:i/>
          <w:color w:val="000000"/>
          <w:szCs w:val="24"/>
        </w:rPr>
        <w:t>citellus</w:t>
      </w:r>
      <w:proofErr w:type="spellEnd"/>
      <w:r>
        <w:rPr>
          <w:b/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>za splnenia nasledovných atribútov:</w:t>
      </w:r>
    </w:p>
    <w:tbl>
      <w:tblPr>
        <w:tblW w:w="9844" w:type="dxa"/>
        <w:tblInd w:w="-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1279"/>
        <w:gridCol w:w="1365"/>
        <w:gridCol w:w="6102"/>
      </w:tblGrid>
      <w:tr w:rsidR="008208F7" w:rsidTr="008208F7">
        <w:trPr>
          <w:trHeight w:val="31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Merateľnosť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Cieľová hodnota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Doplnkové informácie</w:t>
            </w:r>
          </w:p>
        </w:tc>
      </w:tr>
      <w:tr w:rsidR="008208F7" w:rsidTr="008208F7">
        <w:trPr>
          <w:trHeight w:val="31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Veľkosť populácie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počet jedincov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 w:rsidP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Min. 100 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Monitoring uskutočniť na jar v mesiacoch apríl/máj.</w:t>
            </w:r>
          </w:p>
        </w:tc>
      </w:tr>
      <w:tr w:rsidR="008208F7" w:rsidTr="008208F7">
        <w:trPr>
          <w:trHeight w:val="1307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Rozloha biotopu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Min. 30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zachovať biotop druhu na minimálnej výmere cca. 20%</w:t>
            </w:r>
            <w:r w:rsidR="00577A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z celkovej výmery územia na  30 ha</w:t>
            </w:r>
          </w:p>
        </w:tc>
      </w:tr>
      <w:tr w:rsidR="008208F7" w:rsidTr="008208F7">
        <w:trPr>
          <w:trHeight w:val="1307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Kvalita biotopu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Výška trávneho porastu cm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dominantných </w:t>
            </w:r>
            <w:proofErr w:type="spellStart"/>
            <w:r>
              <w:rPr>
                <w:color w:val="000000"/>
                <w:sz w:val="20"/>
                <w:szCs w:val="20"/>
              </w:rPr>
              <w:t>travinno-bylinných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biotopov nepresahuje výšku 15 cm.</w:t>
            </w:r>
          </w:p>
        </w:tc>
        <w:tc>
          <w:tcPr>
            <w:tcW w:w="6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8F7" w:rsidRDefault="008208F7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Intenzívne využívané travinno-bylinné biotopy </w:t>
            </w:r>
          </w:p>
          <w:p w:rsidR="008208F7" w:rsidRDefault="008208F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(pastva resp. výnimočne kosná lúka) vo vegetačnej sezóne.</w:t>
            </w:r>
          </w:p>
        </w:tc>
      </w:tr>
    </w:tbl>
    <w:p w:rsidR="008208F7" w:rsidRDefault="008208F7" w:rsidP="008208F7">
      <w:pPr>
        <w:spacing w:line="240" w:lineRule="auto"/>
        <w:ind w:left="360"/>
        <w:jc w:val="both"/>
      </w:pPr>
    </w:p>
    <w:p w:rsidR="008208F7" w:rsidRDefault="008208F7" w:rsidP="008208F7">
      <w:pPr>
        <w:ind w:left="-284"/>
      </w:pPr>
    </w:p>
    <w:p w:rsidR="008208F7" w:rsidRDefault="008208F7" w:rsidP="008208F7">
      <w:pPr>
        <w:spacing w:line="240" w:lineRule="auto"/>
        <w:ind w:left="360"/>
        <w:jc w:val="both"/>
      </w:pPr>
    </w:p>
    <w:p w:rsidR="002E7B06" w:rsidRDefault="002E7B06" w:rsidP="008208F7">
      <w:pPr>
        <w:spacing w:line="240" w:lineRule="auto"/>
        <w:ind w:left="-284"/>
      </w:pPr>
    </w:p>
    <w:sectPr w:rsidR="002E7B06" w:rsidSect="00FC1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A79FD"/>
    <w:multiLevelType w:val="hybridMultilevel"/>
    <w:tmpl w:val="CB5298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DA"/>
    <w:rsid w:val="00022BC0"/>
    <w:rsid w:val="000560C8"/>
    <w:rsid w:val="000919D5"/>
    <w:rsid w:val="000E05DA"/>
    <w:rsid w:val="000E4287"/>
    <w:rsid w:val="00140708"/>
    <w:rsid w:val="00171BEC"/>
    <w:rsid w:val="001E6775"/>
    <w:rsid w:val="00203B08"/>
    <w:rsid w:val="0022535E"/>
    <w:rsid w:val="00240459"/>
    <w:rsid w:val="002B021B"/>
    <w:rsid w:val="002E60DF"/>
    <w:rsid w:val="002E7B06"/>
    <w:rsid w:val="003509FA"/>
    <w:rsid w:val="00382B18"/>
    <w:rsid w:val="003E7D17"/>
    <w:rsid w:val="003E7F90"/>
    <w:rsid w:val="00476AF7"/>
    <w:rsid w:val="004B5E26"/>
    <w:rsid w:val="004F7434"/>
    <w:rsid w:val="00562BB2"/>
    <w:rsid w:val="00577ACF"/>
    <w:rsid w:val="005B68C6"/>
    <w:rsid w:val="005C00AB"/>
    <w:rsid w:val="0060488B"/>
    <w:rsid w:val="0067109F"/>
    <w:rsid w:val="00687A45"/>
    <w:rsid w:val="006A695F"/>
    <w:rsid w:val="00713326"/>
    <w:rsid w:val="007A62DC"/>
    <w:rsid w:val="008208F7"/>
    <w:rsid w:val="008216F3"/>
    <w:rsid w:val="008C230F"/>
    <w:rsid w:val="008D7440"/>
    <w:rsid w:val="009667BE"/>
    <w:rsid w:val="00A4711A"/>
    <w:rsid w:val="00A5789F"/>
    <w:rsid w:val="00A81817"/>
    <w:rsid w:val="00AA6F82"/>
    <w:rsid w:val="00AB2A2D"/>
    <w:rsid w:val="00BA37A0"/>
    <w:rsid w:val="00BF1520"/>
    <w:rsid w:val="00C65C57"/>
    <w:rsid w:val="00C8239E"/>
    <w:rsid w:val="00C9571F"/>
    <w:rsid w:val="00CE0A83"/>
    <w:rsid w:val="00D45B49"/>
    <w:rsid w:val="00D76319"/>
    <w:rsid w:val="00D77700"/>
    <w:rsid w:val="00DA19FF"/>
    <w:rsid w:val="00E054A3"/>
    <w:rsid w:val="00E64259"/>
    <w:rsid w:val="00E97FDD"/>
    <w:rsid w:val="00EC67A6"/>
    <w:rsid w:val="00EE1D73"/>
    <w:rsid w:val="00F0318A"/>
    <w:rsid w:val="00F436A8"/>
    <w:rsid w:val="00F97F55"/>
    <w:rsid w:val="00FC1FD0"/>
    <w:rsid w:val="2905FBED"/>
    <w:rsid w:val="3910C07A"/>
    <w:rsid w:val="57A9C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`"/>
  <w15:chartTrackingRefBased/>
  <w15:docId w15:val="{95764636-1555-4B57-8C17-233537DD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05DA"/>
    <w:pPr>
      <w:spacing w:after="160" w:line="259" w:lineRule="auto"/>
    </w:pPr>
    <w:rPr>
      <w:rFonts w:ascii="Times New Roman" w:eastAsia="PMingLiU" w:hAnsi="Times New Roman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E05DA"/>
    <w:pPr>
      <w:suppressAutoHyphens/>
      <w:spacing w:after="120" w:line="240" w:lineRule="auto"/>
    </w:pPr>
    <w:rPr>
      <w:rFonts w:eastAsia="Times New Roman"/>
      <w:szCs w:val="24"/>
      <w:lang w:val="x-none" w:eastAsia="ar-SA"/>
    </w:rPr>
  </w:style>
  <w:style w:type="character" w:customStyle="1" w:styleId="ZkladntextChar">
    <w:name w:val="Základný text Char"/>
    <w:link w:val="Zkladntext"/>
    <w:uiPriority w:val="99"/>
    <w:rsid w:val="000E05D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textovprepojenie">
    <w:name w:val="Hyperlink"/>
    <w:uiPriority w:val="99"/>
    <w:rsid w:val="000560C8"/>
    <w:rPr>
      <w:rFonts w:cs="Times New Roman"/>
      <w:color w:val="auto"/>
      <w:u w:val="single"/>
    </w:rPr>
  </w:style>
  <w:style w:type="character" w:styleId="Odkaznakomentr">
    <w:name w:val="annotation reference"/>
    <w:uiPriority w:val="99"/>
    <w:semiHidden/>
    <w:unhideWhenUsed/>
    <w:rsid w:val="00C65C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5C57"/>
    <w:pPr>
      <w:spacing w:line="240" w:lineRule="auto"/>
    </w:pPr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C65C57"/>
    <w:rPr>
      <w:rFonts w:ascii="Times New Roman" w:eastAsia="PMingLiU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5C5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65C57"/>
    <w:rPr>
      <w:rFonts w:ascii="Times New Roman" w:eastAsia="PMingLiU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5C5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65C57"/>
    <w:rPr>
      <w:rFonts w:ascii="Segoe UI" w:eastAsia="PMingLiU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Mútňanová</dc:creator>
  <cp:keywords/>
  <cp:lastModifiedBy>Snopko</cp:lastModifiedBy>
  <cp:revision>2</cp:revision>
  <dcterms:created xsi:type="dcterms:W3CDTF">2025-06-17T09:47:00Z</dcterms:created>
  <dcterms:modified xsi:type="dcterms:W3CDTF">2025-06-17T09:47:00Z</dcterms:modified>
</cp:coreProperties>
</file>