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2D">
        <w:rPr>
          <w:rFonts w:ascii="Times New Roman" w:hAnsi="Times New Roman" w:cs="Times New Roman"/>
          <w:b/>
          <w:sz w:val="24"/>
          <w:szCs w:val="24"/>
        </w:rPr>
        <w:t>SKUEV4012</w:t>
      </w:r>
      <w:r w:rsidR="00761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B66">
        <w:rPr>
          <w:rFonts w:ascii="Times New Roman" w:hAnsi="Times New Roman" w:cs="Times New Roman"/>
          <w:b/>
          <w:sz w:val="24"/>
          <w:szCs w:val="24"/>
        </w:rPr>
        <w:t xml:space="preserve">Alúvium </w:t>
      </w:r>
      <w:r w:rsidR="0044042D">
        <w:rPr>
          <w:rFonts w:ascii="Times New Roman" w:hAnsi="Times New Roman" w:cs="Times New Roman"/>
          <w:b/>
          <w:sz w:val="24"/>
          <w:szCs w:val="24"/>
        </w:rPr>
        <w:t>Západného Turca</w:t>
      </w:r>
    </w:p>
    <w:p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:rsidR="00893B66" w:rsidRDefault="00893B66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4F7" w:rsidRPr="00775056" w:rsidRDefault="008544F7" w:rsidP="008544F7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775056">
        <w:rPr>
          <w:b w:val="0"/>
          <w:color w:val="000000"/>
        </w:rPr>
        <w:t xml:space="preserve">Zlepšenie stavu </w:t>
      </w:r>
      <w:r>
        <w:rPr>
          <w:color w:val="000000"/>
        </w:rPr>
        <w:t>biotopu Ls1.3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Jaseňovo-jelšové podhorské </w:t>
      </w:r>
      <w:r w:rsidRPr="00775056">
        <w:rPr>
          <w:bCs w:val="0"/>
          <w:color w:val="000000"/>
          <w:shd w:val="clear" w:color="auto" w:fill="FFFFFF"/>
        </w:rPr>
        <w:t>lužné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8544F7" w:rsidRPr="0000010E" w:rsidTr="00623BA6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544F7" w:rsidRPr="0000010E" w:rsidTr="00623BA6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623B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CB2" w:rsidRPr="00775056" w:rsidRDefault="0044042D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4F7" w:rsidRPr="00775056" w:rsidRDefault="008544F7" w:rsidP="00793A5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</w:t>
            </w:r>
            <w:r w:rsidR="00793A52" w:rsidRPr="00793A52">
              <w:rPr>
                <w:rFonts w:ascii="Times New Roman" w:hAnsi="Times New Roman" w:cs="Times New Roman"/>
                <w:color w:val="76923C"/>
                <w:sz w:val="18"/>
                <w:szCs w:val="18"/>
              </w:rPr>
              <w:t>o</w:t>
            </w:r>
            <w:r w:rsidR="00793A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ÚEV. </w:t>
            </w:r>
          </w:p>
        </w:tc>
      </w:tr>
      <w:tr w:rsidR="008544F7" w:rsidRPr="0000010E" w:rsidTr="00623BA6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793A52" w:rsidRPr="00B6615B" w:rsidRDefault="00793A52" w:rsidP="004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</w:t>
            </w:r>
            <w:r w:rsidRPr="00B6615B">
              <w:rPr>
                <w:b/>
                <w:sz w:val="18"/>
                <w:szCs w:val="18"/>
              </w:rPr>
              <w:t>1.3 (</w:t>
            </w:r>
            <w:r>
              <w:rPr>
                <w:b/>
                <w:sz w:val="18"/>
                <w:szCs w:val="18"/>
              </w:rPr>
              <w:t xml:space="preserve">* </w:t>
            </w:r>
            <w:r w:rsidRPr="00B6615B">
              <w:rPr>
                <w:b/>
                <w:sz w:val="18"/>
                <w:szCs w:val="18"/>
              </w:rPr>
              <w:t>91E0) Jaseňovo-jelšové podhorské lužné lesy</w:t>
            </w:r>
          </w:p>
          <w:p w:rsidR="008544F7" w:rsidRPr="00AE6C2D" w:rsidRDefault="008544F7" w:rsidP="0062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Acer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8544F7" w:rsidRPr="0000010E" w:rsidTr="00623BA6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Default="008544F7" w:rsidP="00623B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793A52" w:rsidRPr="00B6615B" w:rsidRDefault="00793A52" w:rsidP="0044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Ls</w:t>
            </w:r>
            <w:r w:rsidRPr="00B6615B">
              <w:rPr>
                <w:b/>
                <w:sz w:val="18"/>
                <w:szCs w:val="18"/>
              </w:rPr>
              <w:t>1.3 (</w:t>
            </w:r>
            <w:r>
              <w:rPr>
                <w:b/>
                <w:sz w:val="18"/>
                <w:szCs w:val="18"/>
              </w:rPr>
              <w:t xml:space="preserve">* </w:t>
            </w:r>
            <w:r w:rsidRPr="00B6615B">
              <w:rPr>
                <w:b/>
                <w:sz w:val="18"/>
                <w:szCs w:val="18"/>
              </w:rPr>
              <w:t>91E0) Jaseňovo-jelšové podhorské lužné lesy</w:t>
            </w:r>
          </w:p>
          <w:p w:rsidR="008544F7" w:rsidRPr="00AE6C2D" w:rsidRDefault="008544F7" w:rsidP="00623BA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8544F7" w:rsidRPr="0000010E" w:rsidTr="00623BA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Fallopia sp.,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Heracleum mantegazzianum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544F7" w:rsidRPr="0000010E" w:rsidTr="00623BA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8544F7" w:rsidRPr="00775056" w:rsidRDefault="008544F7" w:rsidP="004404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44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44F7" w:rsidRPr="00775056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8544F7" w:rsidRPr="00775056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544F7" w:rsidRPr="0000010E" w:rsidTr="00623BA6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4F7" w:rsidRPr="0044042D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4F7" w:rsidRPr="0044042D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4F7" w:rsidRPr="0044042D" w:rsidRDefault="008544F7" w:rsidP="00623B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4F7" w:rsidRPr="0044042D" w:rsidRDefault="008544F7" w:rsidP="00623B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44042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4C3BFA" w:rsidRDefault="004C3BFA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056" w:rsidRPr="00775056" w:rsidRDefault="00463702" w:rsidP="007750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="00775056"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="00775056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775056" w:rsidRPr="0000010E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75056" w:rsidRPr="0000010E" w:rsidTr="007823C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D830B0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="00775056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44042D" w:rsidRDefault="0044042D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24,5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775056" w:rsidRPr="0000010E" w:rsidTr="007823C5">
        <w:trPr>
          <w:trHeight w:val="6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 w:rsidR="008C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10F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775056" w:rsidRPr="0000010E" w:rsidTr="007823C5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 w:rsidR="00D83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775056" w:rsidRPr="0000010E" w:rsidTr="007823C5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775056" w:rsidP="00782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  <w:r w:rsidR="0044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a </w:t>
            </w:r>
            <w:proofErr w:type="spellStart"/>
            <w:r w:rsidR="0044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menaj</w:t>
            </w:r>
            <w:proofErr w:type="spellEnd"/>
            <w:r w:rsidR="0044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ako 1 % inváznych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56" w:rsidRPr="00775056" w:rsidRDefault="00D33C1D" w:rsidP="007823C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75056"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:rsidR="00775056" w:rsidRDefault="00775056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10F" w:rsidRPr="004451E9" w:rsidRDefault="00D1710F" w:rsidP="00D1710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Unio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crassus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72" w:type="pct"/>
        <w:tblInd w:w="-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293"/>
        <w:gridCol w:w="1926"/>
        <w:gridCol w:w="5375"/>
      </w:tblGrid>
      <w:tr w:rsidR="00D1710F" w:rsidRPr="00A10603" w:rsidTr="00D1710F">
        <w:trPr>
          <w:trHeight w:val="3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D1710F" w:rsidRPr="00A10603" w:rsidTr="00D1710F">
        <w:trPr>
          <w:trHeight w:val="3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2000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Potrebný monitoring stavu populácie, odhaduje sa veľkosť 1000 – 5000 </w:t>
            </w:r>
            <w:r w:rsidRPr="00A10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jedincov.</w:t>
            </w:r>
          </w:p>
        </w:tc>
      </w:tr>
      <w:tr w:rsidR="00D1710F" w:rsidRPr="00A10603" w:rsidTr="00D1710F">
        <w:trPr>
          <w:trHeight w:val="1307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Neznáma, bude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definvaná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pomonitoringu</w:t>
            </w:r>
            <w:proofErr w:type="spellEnd"/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vo vzorke na monitorovacej lokalite zaznamenaných na 100 m toku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na základe identifikácie druhu v území </w:t>
            </w:r>
          </w:p>
        </w:tc>
      </w:tr>
      <w:tr w:rsidR="00D1710F" w:rsidRPr="00A10603" w:rsidTr="00D1710F">
        <w:trPr>
          <w:trHeight w:val="1307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</w:t>
            </w:r>
            <w:r w:rsidRPr="00A106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Neznáma, bude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definvaná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pomonitoringu</w:t>
            </w:r>
            <w:proofErr w:type="spellEnd"/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0F" w:rsidRPr="00A10603" w:rsidRDefault="00D1710F" w:rsidP="00D1710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Potrebný monitoring stavu populácie, po identifikácii zachovať biotop druhu.</w:t>
            </w:r>
          </w:p>
        </w:tc>
      </w:tr>
    </w:tbl>
    <w:p w:rsidR="0044042D" w:rsidRDefault="0044042D" w:rsidP="007750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093" w:rsidRPr="001A2093" w:rsidRDefault="0044042D" w:rsidP="001A2093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Zachovanie </w:t>
      </w:r>
      <w:r w:rsidR="001A2093" w:rsidRPr="001A2093">
        <w:rPr>
          <w:rFonts w:ascii="Times New Roman" w:hAnsi="Times New Roman" w:cs="Times New Roman"/>
        </w:rPr>
        <w:t xml:space="preserve">stavu druhu </w:t>
      </w:r>
      <w:proofErr w:type="spellStart"/>
      <w:r w:rsidR="001A2093" w:rsidRPr="001A2093">
        <w:rPr>
          <w:rFonts w:ascii="Times New Roman" w:hAnsi="Times New Roman" w:cs="Times New Roman"/>
          <w:b/>
          <w:i/>
          <w:szCs w:val="24"/>
        </w:rPr>
        <w:t>Cordulegaster</w:t>
      </w:r>
      <w:proofErr w:type="spellEnd"/>
      <w:r w:rsidR="001A2093" w:rsidRPr="001A2093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1A2093" w:rsidRPr="001A2093">
        <w:rPr>
          <w:rFonts w:ascii="Times New Roman" w:hAnsi="Times New Roman" w:cs="Times New Roman"/>
          <w:b/>
          <w:i/>
          <w:szCs w:val="24"/>
        </w:rPr>
        <w:t>heros</w:t>
      </w:r>
      <w:proofErr w:type="spellEnd"/>
      <w:r w:rsidR="001A2093" w:rsidRPr="001A2093">
        <w:rPr>
          <w:rFonts w:ascii="Times New Roman" w:hAnsi="Times New Roman" w:cs="Times New Roman"/>
          <w:b/>
          <w:i/>
          <w:szCs w:val="24"/>
        </w:rPr>
        <w:t xml:space="preserve"> </w:t>
      </w:r>
      <w:r w:rsidR="001A2093" w:rsidRPr="001A2093">
        <w:rPr>
          <w:rFonts w:ascii="Times New Roman" w:hAnsi="Times New Roman" w:cs="Times New Roman"/>
          <w:szCs w:val="24"/>
        </w:rPr>
        <w:t>za splnenia nasledovných atribútov</w:t>
      </w:r>
      <w:r w:rsidR="001A2093" w:rsidRPr="001A2093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tbl>
      <w:tblPr>
        <w:tblW w:w="6056" w:type="pct"/>
        <w:tblInd w:w="-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1601"/>
        <w:gridCol w:w="1730"/>
        <w:gridCol w:w="5376"/>
      </w:tblGrid>
      <w:tr w:rsidR="001A2093" w:rsidRPr="001A2093" w:rsidTr="0044042D">
        <w:trPr>
          <w:trHeight w:val="6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1A2093" w:rsidRPr="001A2093" w:rsidTr="0044042D">
        <w:trPr>
          <w:trHeight w:val="6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</w:t>
            </w:r>
            <w:proofErr w:type="spellEnd"/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1A2093" w:rsidRDefault="001A2093" w:rsidP="004404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440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Udržia</w:t>
            </w:r>
            <w:r w:rsidR="00440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vaná veľkosť populácie na min. 1</w:t>
            </w: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jedincov</w:t>
            </w:r>
            <w:r w:rsidR="00440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 súčasnosti 5</w:t>
            </w: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až 500 jedincov. </w:t>
            </w:r>
          </w:p>
        </w:tc>
      </w:tr>
      <w:tr w:rsidR="001A2093" w:rsidRPr="001A2093" w:rsidTr="0044042D">
        <w:trPr>
          <w:trHeight w:val="93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rozloha biotopu výskytu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93" w:rsidRPr="00B229D5" w:rsidRDefault="00B229D5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Udržaná výmera lužných lesov biotopu 91E0</w:t>
            </w:r>
          </w:p>
        </w:tc>
      </w:tr>
      <w:tr w:rsidR="001A2093" w:rsidRPr="001A2093" w:rsidTr="0044042D">
        <w:trPr>
          <w:trHeight w:val="62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Podiel toku v % s vyhovujúcimi podmienkami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Viac ako 50 % toku s vyhovujúcimi podmienkami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93" w:rsidRPr="001A2093" w:rsidRDefault="001A2093" w:rsidP="009E4C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Úseky toku s výskytom piesčitého a jemne štrkovitého dna pre existenciu a vývoj lariev druhu a pobrežnou vegetáciou pre úkryt </w:t>
            </w:r>
            <w:proofErr w:type="spellStart"/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imág</w:t>
            </w:r>
            <w:proofErr w:type="spellEnd"/>
          </w:p>
        </w:tc>
      </w:tr>
      <w:tr w:rsidR="001A2093" w:rsidRPr="001A2093" w:rsidTr="0044042D">
        <w:trPr>
          <w:trHeight w:val="6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Monitoring kvality povrchových vôd (SHMU)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093" w:rsidRPr="001A2093" w:rsidRDefault="001A2093" w:rsidP="009E4C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vyhovujúce</w:t>
            </w:r>
            <w:r w:rsidRPr="001A2093" w:rsidDel="008E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3" w:rsidRPr="001A2093" w:rsidRDefault="001A2093" w:rsidP="009E4C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 v zmysle výsledkov sledovania stavu kvality vody v toku vyžaduje pre zachovanie stavu vyhovujúce výsledky v zmysle platných metodík na hodnotenie stavu kvality povrchových vôd. (</w:t>
            </w:r>
            <w:hyperlink r:id="rId6" w:history="1">
              <w:r w:rsidRPr="001A2093">
                <w:rPr>
                  <w:rStyle w:val="Hypertextovprepojenie"/>
                  <w:rFonts w:ascii="Times New Roman" w:hAnsi="Times New Roman"/>
                  <w:color w:val="000000"/>
                  <w:sz w:val="20"/>
                  <w:szCs w:val="20"/>
                </w:rPr>
                <w:t>http://www.shmu.sk/sk/?page=1&amp;id=kvalita_povrchovych_vod</w:t>
              </w:r>
            </w:hyperlink>
            <w:r w:rsidRPr="001A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1A2093" w:rsidRDefault="001A2093" w:rsidP="001A2093">
      <w:pPr>
        <w:pStyle w:val="Zkladntext"/>
        <w:widowControl w:val="0"/>
        <w:ind w:left="360"/>
        <w:jc w:val="both"/>
      </w:pPr>
    </w:p>
    <w:p w:rsidR="00D60FD5" w:rsidRDefault="00D60FD5" w:rsidP="00D60FD5">
      <w:pPr>
        <w:pStyle w:val="Zkladntext"/>
        <w:widowControl w:val="0"/>
        <w:jc w:val="both"/>
        <w:rPr>
          <w:b w:val="0"/>
        </w:rPr>
      </w:pPr>
      <w:r w:rsidRPr="001A2093">
        <w:rPr>
          <w:b w:val="0"/>
        </w:rPr>
        <w:t>Zlepšenie stavu druhu</w:t>
      </w:r>
      <w:r w:rsidRPr="001A2093">
        <w:t xml:space="preserve"> </w:t>
      </w:r>
      <w:proofErr w:type="spellStart"/>
      <w:r>
        <w:rPr>
          <w:i/>
        </w:rPr>
        <w:t>Barbus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carpaticus</w:t>
      </w:r>
      <w:proofErr w:type="spellEnd"/>
      <w:r>
        <w:rPr>
          <w:i/>
        </w:rPr>
        <w:t xml:space="preserve"> </w:t>
      </w:r>
      <w:r w:rsidRPr="001A2093">
        <w:rPr>
          <w:b w:val="0"/>
        </w:rPr>
        <w:t>za splnenia nasledovných parametrov:</w:t>
      </w:r>
    </w:p>
    <w:tbl>
      <w:tblPr>
        <w:tblW w:w="49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9"/>
        <w:gridCol w:w="1468"/>
        <w:gridCol w:w="1124"/>
        <w:gridCol w:w="5340"/>
      </w:tblGrid>
      <w:tr w:rsidR="00945B99" w:rsidRPr="00870D1F" w:rsidTr="00D60FD5">
        <w:trPr>
          <w:jc w:val="center"/>
        </w:trPr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870D1F" w:rsidRDefault="00945B99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870D1F" w:rsidRDefault="00945B99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870D1F" w:rsidRDefault="00945B99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870D1F" w:rsidRDefault="00945B99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45B99" w:rsidRPr="001258AA" w:rsidTr="00D60FD5">
        <w:trPr>
          <w:trHeight w:val="225"/>
          <w:jc w:val="center"/>
        </w:trPr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D60FD5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440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440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4404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– 1</w:t>
            </w:r>
            <w:r w:rsidR="00D60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jedincov</w:t>
            </w:r>
          </w:p>
        </w:tc>
      </w:tr>
      <w:tr w:rsidR="00945B99" w:rsidRPr="001258AA" w:rsidTr="00D60FD5">
        <w:trPr>
          <w:trHeight w:val="225"/>
          <w:jc w:val="center"/>
        </w:trPr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Zastúpenie vhodných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mezohabitatov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v hodnotenom úseku toku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3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reofilný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druh obývajúci dno menších až stredne veľkých podhorských riek. Preferuje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prúdivé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biotopy s tvrdým štrkovitým dnom. Dôležitá je preň dostatočná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hydromorfologická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členitosť toku, najmä zastúpenie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perejnatých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úsekov so štrkovými lavicami a tiahlymi prúdmi. </w:t>
            </w:r>
          </w:p>
        </w:tc>
      </w:tr>
      <w:tr w:rsidR="00945B99" w:rsidRPr="001258AA" w:rsidTr="00D60FD5">
        <w:trPr>
          <w:trHeight w:val="397"/>
          <w:jc w:val="center"/>
        </w:trPr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1258AA" w:rsidRDefault="00945B99" w:rsidP="009E4CB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B229D5" w:rsidRDefault="00B229D5" w:rsidP="009E4CB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99" w:rsidRPr="00B229D5" w:rsidRDefault="00945B99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 umožnenie migrácie druhu je potrebné </w:t>
            </w:r>
            <w:r w:rsidR="00B229D5"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zachovanie toku bez </w:t>
            </w: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migračných bariér na toku</w:t>
            </w:r>
          </w:p>
        </w:tc>
      </w:tr>
      <w:tr w:rsidR="00D60FD5" w:rsidRPr="001258AA" w:rsidTr="00D60FD5">
        <w:trPr>
          <w:trHeight w:val="397"/>
          <w:jc w:val="center"/>
        </w:trPr>
        <w:tc>
          <w:tcPr>
            <w:tcW w:w="19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FD5" w:rsidRPr="001258AA" w:rsidRDefault="00D60FD5" w:rsidP="00D60FD5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0FD5" w:rsidRPr="001258AA" w:rsidRDefault="00D60FD5" w:rsidP="00D60F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21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0FD5" w:rsidRPr="001258AA" w:rsidRDefault="00D60FD5" w:rsidP="00D60F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vyhovujúce </w:t>
            </w:r>
          </w:p>
        </w:tc>
        <w:tc>
          <w:tcPr>
            <w:tcW w:w="32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0FD5" w:rsidRPr="001258AA" w:rsidRDefault="00D60FD5" w:rsidP="0044042D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Druh je citlivý na znečistenie a pomerne náročný na kvalitu vody, z hľadiska teploty, obsahu kyslíka, chemických i biologických ukazovateľov. V zmysle výsledkov </w:t>
            </w:r>
            <w:proofErr w:type="spellStart"/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 stavu kvality vody v toku </w:t>
            </w:r>
            <w:proofErr w:type="spellStart"/>
            <w:r w:rsidR="0044042D">
              <w:rPr>
                <w:rFonts w:ascii="Times New Roman" w:hAnsi="Times New Roman" w:cs="Times New Roman"/>
                <w:sz w:val="20"/>
                <w:szCs w:val="20"/>
              </w:rPr>
              <w:t>Turca</w:t>
            </w: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 vyžaduje zachovanie stavu vyhovujúce v zmysle platných metodík na 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506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7" w:history="1">
              <w:r w:rsidRPr="009506DB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506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45B99" w:rsidRDefault="00945B99" w:rsidP="001A2093">
      <w:pPr>
        <w:pStyle w:val="Zkladntext"/>
        <w:widowControl w:val="0"/>
        <w:ind w:left="360"/>
        <w:jc w:val="both"/>
      </w:pPr>
    </w:p>
    <w:p w:rsidR="001A2093" w:rsidRPr="001A2093" w:rsidRDefault="001A2093" w:rsidP="001A2093">
      <w:pPr>
        <w:pStyle w:val="Zkladntext"/>
        <w:widowControl w:val="0"/>
        <w:jc w:val="both"/>
        <w:rPr>
          <w:b w:val="0"/>
        </w:rPr>
      </w:pPr>
      <w:r w:rsidRPr="001A2093">
        <w:rPr>
          <w:b w:val="0"/>
        </w:rPr>
        <w:t>Zlepšenie stavu druhu</w:t>
      </w:r>
      <w:r w:rsidRPr="001A2093">
        <w:t xml:space="preserve"> </w:t>
      </w:r>
      <w:proofErr w:type="spellStart"/>
      <w:r w:rsidRPr="001A2093">
        <w:rPr>
          <w:i/>
        </w:rPr>
        <w:t>Eudontomyzon</w:t>
      </w:r>
      <w:proofErr w:type="spellEnd"/>
      <w:r w:rsidRPr="001A2093">
        <w:rPr>
          <w:i/>
        </w:rPr>
        <w:t xml:space="preserve"> </w:t>
      </w:r>
      <w:proofErr w:type="spellStart"/>
      <w:r>
        <w:rPr>
          <w:i/>
        </w:rPr>
        <w:t>danfordii</w:t>
      </w:r>
      <w:proofErr w:type="spellEnd"/>
      <w:r>
        <w:rPr>
          <w:i/>
        </w:rPr>
        <w:t xml:space="preserve"> </w:t>
      </w:r>
      <w:r w:rsidRPr="001A2093">
        <w:rPr>
          <w:b w:val="0"/>
        </w:rPr>
        <w:t>za splnenia nasledovných parametrov:</w:t>
      </w:r>
      <w:r w:rsidRPr="001A209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2"/>
        <w:gridCol w:w="1382"/>
        <w:gridCol w:w="1104"/>
        <w:gridCol w:w="5523"/>
      </w:tblGrid>
      <w:tr w:rsidR="001A2093" w:rsidRPr="001A2093" w:rsidTr="00D1710F">
        <w:trPr>
          <w:jc w:val="center"/>
        </w:trPr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1A2093" w:rsidRPr="001A2093" w:rsidTr="00D1710F">
        <w:trPr>
          <w:trHeight w:val="225"/>
          <w:jc w:val="center"/>
        </w:trPr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4404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dosahoval </w:t>
            </w:r>
            <w:r w:rsidR="0044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 v hlavnom toku zastúpenie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404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500 </w:t>
            </w:r>
            <w:r w:rsidRPr="001A2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jedincov.</w:t>
            </w:r>
          </w:p>
        </w:tc>
      </w:tr>
      <w:tr w:rsidR="001A2093" w:rsidRPr="001A2093" w:rsidTr="00D1710F">
        <w:trPr>
          <w:trHeight w:val="225"/>
          <w:jc w:val="center"/>
        </w:trPr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</w:p>
        </w:tc>
        <w:tc>
          <w:tcPr>
            <w:tcW w:w="1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Výskyt v dobre prekysličených potokoch a riekach s čistou vodou a štrkovito-piesčitým substrátom. Larvy sú zahrabané v jemnom sedimente z detritu, piesku a ílu, ktorý sa usadzuje v rozšírených slepých zátokách. </w:t>
            </w:r>
          </w:p>
        </w:tc>
      </w:tr>
      <w:tr w:rsidR="00B229D5" w:rsidRPr="001A2093" w:rsidTr="00D1710F">
        <w:trPr>
          <w:trHeight w:val="397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29D5" w:rsidRPr="001A2093" w:rsidRDefault="00B229D5" w:rsidP="00172D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Pozdĺžna kontinuita toku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29D5" w:rsidRPr="001258AA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29D5" w:rsidRPr="00B229D5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29D5" w:rsidRPr="00B229D5" w:rsidRDefault="00B229D5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 umožnenie migrácie druhu je potrebné zachovanie toku bez  migračných bariér na toku</w:t>
            </w:r>
          </w:p>
        </w:tc>
      </w:tr>
      <w:tr w:rsidR="001A2093" w:rsidRPr="001A2093" w:rsidTr="00D1710F">
        <w:trPr>
          <w:trHeight w:val="397"/>
          <w:jc w:val="center"/>
        </w:trPr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v </w:t>
            </w:r>
            <w:proofErr w:type="spellStart"/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astúpenie </w:t>
            </w:r>
            <w:r w:rsidRPr="001A2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inváznych a nepôvodných druhov</w:t>
            </w: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 v predmetnom úseku rieky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možno </w:t>
            </w: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hodnotiť ako zanedbateľné (0.1 %). </w:t>
            </w:r>
            <w:r w:rsidRPr="001A2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však potrebné ich výskyt monitorovať</w:t>
            </w: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A2093" w:rsidRPr="001A2093" w:rsidTr="00D1710F">
        <w:trPr>
          <w:trHeight w:val="397"/>
          <w:jc w:val="center"/>
        </w:trPr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3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 xml:space="preserve">trieda kvality vody </w:t>
            </w:r>
          </w:p>
        </w:tc>
        <w:tc>
          <w:tcPr>
            <w:tcW w:w="1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93" w:rsidRPr="001A2093" w:rsidRDefault="001A2093" w:rsidP="009E4CB2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55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2093" w:rsidRPr="001A2093" w:rsidRDefault="001A2093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1A2093">
              <w:rPr>
                <w:rFonts w:ascii="Times New Roman" w:hAnsi="Times New Roman" w:cs="Times New Roman"/>
                <w:sz w:val="20"/>
                <w:szCs w:val="20"/>
              </w:rPr>
              <w:t xml:space="preserve">Druh je citlivý na znečistenie a pomerne náročný na kvalitu vody, z hľadiska teploty, obsahu kyslíka, chemických i biologických ukazovateľov. V zmysle výsledkov </w:t>
            </w:r>
            <w:proofErr w:type="spellStart"/>
            <w:r w:rsidRPr="001A2093">
              <w:rPr>
                <w:rFonts w:ascii="Times New Roman" w:hAnsi="Times New Roman" w:cs="Times New Roman"/>
                <w:sz w:val="20"/>
                <w:szCs w:val="20"/>
              </w:rPr>
              <w:t>sledovani</w:t>
            </w:r>
            <w:proofErr w:type="spellEnd"/>
            <w:r w:rsidRPr="001A2093">
              <w:rPr>
                <w:rFonts w:ascii="Times New Roman" w:hAnsi="Times New Roman" w:cs="Times New Roman"/>
                <w:sz w:val="20"/>
                <w:szCs w:val="20"/>
              </w:rPr>
              <w:t xml:space="preserve"> stavu kvality vody v toku </w:t>
            </w:r>
            <w:r w:rsidR="00D1710F">
              <w:rPr>
                <w:rFonts w:ascii="Times New Roman" w:hAnsi="Times New Roman" w:cs="Times New Roman"/>
                <w:sz w:val="20"/>
                <w:szCs w:val="20"/>
              </w:rPr>
              <w:t xml:space="preserve">Turca </w:t>
            </w:r>
            <w:r w:rsidRPr="001A2093">
              <w:rPr>
                <w:rFonts w:ascii="Times New Roman" w:hAnsi="Times New Roman" w:cs="Times New Roman"/>
                <w:sz w:val="20"/>
                <w:szCs w:val="20"/>
              </w:rPr>
              <w:t>sa vyžaduje zachovanie stavu vyhovujúce v zmysle platných metodík na hodnotenie stavu kvality povrchových vôd (</w:t>
            </w:r>
            <w:hyperlink r:id="rId8" w:history="1">
              <w:r w:rsidRPr="001A2093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1A209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1A2093" w:rsidRPr="001A2093" w:rsidRDefault="001A2093" w:rsidP="006E33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D1710F" w:rsidRPr="00FA03B9" w:rsidRDefault="00D1710F" w:rsidP="00D1710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kesleri</w:t>
      </w:r>
      <w:r w:rsidRPr="00FA03B9">
        <w:rPr>
          <w:i/>
        </w:rPr>
        <w:t>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D1710F" w:rsidRPr="00FA03B9" w:rsidTr="00D1710F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0C0D5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0C0D5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0C0D5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0C0D5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1710F" w:rsidRPr="00FA03B9" w:rsidTr="00D1710F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50 - 500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1710F" w:rsidRPr="00FA03B9" w:rsidTr="00D1710F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7720DF" w:rsidRDefault="00D1710F" w:rsidP="00D171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Obnovu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biotopov je možné dosiahnuť revitalizáciou toku - prepojením a </w:t>
            </w:r>
            <w:proofErr w:type="spellStart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sprietočnením</w:t>
            </w:r>
            <w:proofErr w:type="spellEnd"/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odrezaných meandrov a riečnych ramien.</w:t>
            </w:r>
          </w:p>
        </w:tc>
      </w:tr>
      <w:tr w:rsidR="00D1710F" w:rsidRPr="00FA03B9" w:rsidTr="00D1710F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D1710F" w:rsidRPr="00FA03B9" w:rsidTr="00D1710F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7A6B32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:rsidR="00D1710F" w:rsidRPr="007A6B32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1710F" w:rsidRPr="00FA03B9" w:rsidTr="00D1710F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B229D5" w:rsidRPr="00FA03B9" w:rsidTr="00D1710F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A32EFF" w:rsidRDefault="00B229D5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1258AA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 umožnenie migrácie druhu je potrebné zachovanie toku bez  migračných bariér na toku</w:t>
            </w:r>
          </w:p>
        </w:tc>
      </w:tr>
      <w:tr w:rsidR="00D1710F" w:rsidRPr="00FA03B9" w:rsidTr="00D1710F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1710F" w:rsidRPr="00FA03B9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1710F" w:rsidRDefault="00D1710F" w:rsidP="00D171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D1710F" w:rsidRPr="00FA03B9" w:rsidRDefault="00D1710F" w:rsidP="00D1710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lastRenderedPageBreak/>
        <w:t xml:space="preserve">Zlepšenie stavu </w:t>
      </w:r>
      <w:r w:rsidRPr="007720DF">
        <w:t xml:space="preserve">druhu </w:t>
      </w:r>
      <w:proofErr w:type="spellStart"/>
      <w:r>
        <w:rPr>
          <w:i/>
        </w:rPr>
        <w:t>Romanogobio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vladykovi</w:t>
      </w:r>
      <w:proofErr w:type="spellEnd"/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406"/>
        <w:gridCol w:w="2071"/>
        <w:gridCol w:w="4186"/>
      </w:tblGrid>
      <w:tr w:rsidR="00D1710F" w:rsidRPr="00870D1F" w:rsidTr="00B229D5">
        <w:trPr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D1710F" w:rsidRPr="00870D1F" w:rsidTr="00B229D5">
        <w:trPr>
          <w:trHeight w:val="225"/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FA03B9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50 - 100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1710F" w:rsidRPr="00870D1F" w:rsidTr="00B229D5">
        <w:trPr>
          <w:trHeight w:val="225"/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vhodných mikro-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mezohabitatov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hodnotenom úseku toku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reofilný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 obývajúci dno podhorských tokov. Preferuje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prúdivé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biotopy s tvrdým štrkovitým dnom. Dôležité je preto najmä dostatočné zastúpenie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perejnatých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úsekov so štrkovými lavicami. </w:t>
            </w:r>
          </w:p>
        </w:tc>
      </w:tr>
      <w:tr w:rsidR="00D1710F" w:rsidRPr="00870D1F" w:rsidTr="00B229D5">
        <w:trPr>
          <w:trHeight w:val="397"/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nepôvodných a inváznych druhov rýb v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B229D5" w:rsidRPr="00870D1F" w:rsidTr="00B229D5">
        <w:trPr>
          <w:trHeight w:val="397"/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870D1F" w:rsidRDefault="00B229D5" w:rsidP="00D171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1258AA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 umožnenie migrácie druhu je potrebné zachovanie toku bez  migračných bariér na toku</w:t>
            </w:r>
          </w:p>
        </w:tc>
      </w:tr>
      <w:tr w:rsidR="00D1710F" w:rsidRPr="00870D1F" w:rsidTr="00B229D5">
        <w:trPr>
          <w:trHeight w:val="397"/>
          <w:jc w:val="center"/>
        </w:trPr>
        <w:tc>
          <w:tcPr>
            <w:tcW w:w="1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870D1F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1710F" w:rsidRPr="00870D1F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A2093" w:rsidRDefault="001A2093" w:rsidP="006E33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D1710F" w:rsidRPr="0088508D" w:rsidRDefault="00D1710F" w:rsidP="00D171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Rhodeus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(R.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sericeus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D1710F" w:rsidRPr="001258AA" w:rsidTr="00D1710F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D1710F" w:rsidRPr="001258AA" w:rsidTr="00D1710F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1000 do 5000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1710F" w:rsidRPr="001258AA" w:rsidTr="00D1710F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D1710F" w:rsidRPr="001258AA" w:rsidTr="00D1710F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pStyle w:val="Textkomentr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Minimálne zastúpenie nepôvodných druhov rýb. </w:t>
            </w:r>
          </w:p>
        </w:tc>
      </w:tr>
      <w:tr w:rsidR="00B229D5" w:rsidRPr="001258AA" w:rsidTr="00D1710F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F71EF9" w:rsidRDefault="00B229D5" w:rsidP="00D1710F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1258AA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 umožnenie migrácie druhu je potrebné zachovanie toku bez  migračných bariér na toku</w:t>
            </w:r>
          </w:p>
        </w:tc>
      </w:tr>
      <w:tr w:rsidR="00D1710F" w:rsidRPr="001258AA" w:rsidTr="00D1710F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258AA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1710F" w:rsidRPr="001258AA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1710F" w:rsidRDefault="00D1710F" w:rsidP="00D1710F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D1710F" w:rsidRPr="00624E56" w:rsidRDefault="00D1710F" w:rsidP="00D1710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stav </w:t>
      </w:r>
      <w:r w:rsidRPr="007720DF">
        <w:t xml:space="preserve">druhu </w:t>
      </w:r>
      <w:proofErr w:type="spellStart"/>
      <w:r w:rsidRPr="00B901BE">
        <w:rPr>
          <w:i/>
        </w:rPr>
        <w:t>Sabanejewia</w:t>
      </w:r>
      <w:proofErr w:type="spellEnd"/>
      <w:r w:rsidRPr="00B901BE">
        <w:rPr>
          <w:i/>
        </w:rPr>
        <w:t xml:space="preserve"> </w:t>
      </w:r>
      <w:proofErr w:type="spellStart"/>
      <w:r w:rsidRPr="00B901BE">
        <w:rPr>
          <w:i/>
        </w:rPr>
        <w:t>balcanica</w:t>
      </w:r>
      <w:proofErr w:type="spellEnd"/>
      <w:r w:rsidRPr="00B901BE">
        <w:rPr>
          <w:i/>
        </w:rPr>
        <w:t xml:space="preserve"> (S. </w:t>
      </w:r>
      <w:proofErr w:type="spellStart"/>
      <w:r w:rsidRPr="00B901BE">
        <w:rPr>
          <w:i/>
        </w:rPr>
        <w:t>aurata</w:t>
      </w:r>
      <w:proofErr w:type="spellEnd"/>
      <w:r w:rsidRPr="00B901BE">
        <w:rPr>
          <w:i/>
        </w:rPr>
        <w:t xml:space="preserve">, S. </w:t>
      </w:r>
      <w:proofErr w:type="spellStart"/>
      <w:r w:rsidRPr="00B901BE">
        <w:rPr>
          <w:i/>
        </w:rPr>
        <w:t>bulgarica</w:t>
      </w:r>
      <w:proofErr w:type="spellEnd"/>
      <w:r w:rsidRPr="00B901BE">
        <w:rPr>
          <w:i/>
        </w:rPr>
        <w:t xml:space="preserve">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D1710F" w:rsidRPr="00B901BE" w:rsidTr="00D1710F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13262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13262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13262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113262" w:rsidRDefault="00D1710F" w:rsidP="00D1710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D1710F" w:rsidRPr="00B901BE" w:rsidTr="00D1710F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200 do 2000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1710F" w:rsidRPr="00B901BE" w:rsidTr="00D1710F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mikrohabitatov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druh preferujúci </w:t>
            </w:r>
            <w:proofErr w:type="spellStart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prúdivejšie</w:t>
            </w:r>
            <w:proofErr w:type="spellEnd"/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 úseky so štrkovo-kamenitým dnom a piesčitým dnom, do ktorého sa zahrabáva. </w:t>
            </w:r>
          </w:p>
        </w:tc>
      </w:tr>
      <w:tr w:rsidR="00D1710F" w:rsidRPr="00B901BE" w:rsidTr="00D1710F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B229D5" w:rsidRPr="00B901BE" w:rsidTr="00D1710F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A32EFF" w:rsidRDefault="00B229D5" w:rsidP="00D171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1258AA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funkčných spriechodnení migračných bariér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9D5" w:rsidRPr="00B229D5" w:rsidRDefault="00B229D5" w:rsidP="00B229D5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 umožnenie migrácie druhu je potrebné zachovanie toku bez  migračných bariér na toku</w:t>
            </w:r>
          </w:p>
        </w:tc>
      </w:tr>
      <w:tr w:rsidR="00D1710F" w:rsidRPr="00B901BE" w:rsidTr="00D1710F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10F" w:rsidRPr="00B901BE" w:rsidRDefault="00D1710F" w:rsidP="00D171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vyhovujúce v zmysle platných metodík na hodnotenie stavu kvality povrchových vôd.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Druh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náročný na </w:t>
            </w: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kvalitu vody.</w:t>
            </w:r>
          </w:p>
        </w:tc>
      </w:tr>
    </w:tbl>
    <w:p w:rsidR="00D1710F" w:rsidRDefault="00D1710F" w:rsidP="00D1710F">
      <w:pPr>
        <w:pStyle w:val="Zkladntext"/>
        <w:widowControl w:val="0"/>
        <w:spacing w:after="120"/>
        <w:jc w:val="both"/>
        <w:rPr>
          <w:b w:val="0"/>
        </w:rPr>
      </w:pPr>
    </w:p>
    <w:p w:rsidR="006E335B" w:rsidRPr="00EF3712" w:rsidRDefault="006E335B" w:rsidP="006E335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variegata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6E335B" w:rsidRPr="0000010E" w:rsidTr="00623BA6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6E335B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6E335B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6E335B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6E335B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E3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E335B" w:rsidRPr="0000010E" w:rsidTr="00623BA6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D1710F" w:rsidP="00D171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Viac ako </w:t>
            </w:r>
            <w:r w:rsidR="006E3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6E335B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 w:rsidR="00D17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1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 w:rsidR="00D17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(aktuál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y údaj / z SDF), bude potrebný komplexnejší monitoring populácie druhu.</w:t>
            </w:r>
          </w:p>
        </w:tc>
      </w:tr>
      <w:tr w:rsidR="006E335B" w:rsidRPr="0000010E" w:rsidTr="00623BA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5B" w:rsidRPr="00B229D5" w:rsidRDefault="00B229D5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229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6E335B" w:rsidRPr="0000010E" w:rsidTr="00623BA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5B" w:rsidRPr="00EF3712" w:rsidRDefault="006E335B" w:rsidP="00623B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6E335B" w:rsidRPr="00EF3712" w:rsidRDefault="006E335B" w:rsidP="006E335B">
      <w:pPr>
        <w:pStyle w:val="Zkladntext"/>
        <w:widowControl w:val="0"/>
        <w:spacing w:after="120"/>
        <w:ind w:left="360"/>
        <w:jc w:val="both"/>
        <w:rPr>
          <w:b w:val="0"/>
          <w:i/>
          <w:color w:val="000000"/>
        </w:rPr>
      </w:pPr>
    </w:p>
    <w:p w:rsidR="006E335B" w:rsidRDefault="006E335B" w:rsidP="006E335B">
      <w:pPr>
        <w:pStyle w:val="Zkladntext"/>
        <w:widowControl w:val="0"/>
        <w:spacing w:after="120"/>
        <w:jc w:val="both"/>
        <w:rPr>
          <w:b w:val="0"/>
        </w:rPr>
      </w:pPr>
    </w:p>
    <w:sectPr w:rsidR="006E335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96F74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42C5"/>
    <w:rsid w:val="001258AA"/>
    <w:rsid w:val="00127849"/>
    <w:rsid w:val="00165F46"/>
    <w:rsid w:val="00166A90"/>
    <w:rsid w:val="00172D38"/>
    <w:rsid w:val="00186C3C"/>
    <w:rsid w:val="00195E53"/>
    <w:rsid w:val="001A2093"/>
    <w:rsid w:val="001B4A5C"/>
    <w:rsid w:val="001C4290"/>
    <w:rsid w:val="001D51FF"/>
    <w:rsid w:val="001E128A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E41AD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D08ED"/>
    <w:rsid w:val="003D3424"/>
    <w:rsid w:val="003F45CC"/>
    <w:rsid w:val="003F5557"/>
    <w:rsid w:val="003F71B7"/>
    <w:rsid w:val="0040002C"/>
    <w:rsid w:val="00402048"/>
    <w:rsid w:val="00403089"/>
    <w:rsid w:val="00410FDB"/>
    <w:rsid w:val="004234CB"/>
    <w:rsid w:val="00437F58"/>
    <w:rsid w:val="0044042D"/>
    <w:rsid w:val="004502A3"/>
    <w:rsid w:val="00455620"/>
    <w:rsid w:val="00460393"/>
    <w:rsid w:val="00463702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3BFA"/>
    <w:rsid w:val="004C5D19"/>
    <w:rsid w:val="004E6C10"/>
    <w:rsid w:val="004F232E"/>
    <w:rsid w:val="004F6CBA"/>
    <w:rsid w:val="005007DD"/>
    <w:rsid w:val="00506BD5"/>
    <w:rsid w:val="00552897"/>
    <w:rsid w:val="00553C56"/>
    <w:rsid w:val="00554900"/>
    <w:rsid w:val="00555FDD"/>
    <w:rsid w:val="00567493"/>
    <w:rsid w:val="00576006"/>
    <w:rsid w:val="00582857"/>
    <w:rsid w:val="00583606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5F73C3"/>
    <w:rsid w:val="00613454"/>
    <w:rsid w:val="00622104"/>
    <w:rsid w:val="00623BA6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6E335B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1C44"/>
    <w:rsid w:val="007657C5"/>
    <w:rsid w:val="00767DD6"/>
    <w:rsid w:val="00775056"/>
    <w:rsid w:val="007823C5"/>
    <w:rsid w:val="00791978"/>
    <w:rsid w:val="007920A8"/>
    <w:rsid w:val="00793A52"/>
    <w:rsid w:val="00796656"/>
    <w:rsid w:val="00797552"/>
    <w:rsid w:val="007B1022"/>
    <w:rsid w:val="007B1AD9"/>
    <w:rsid w:val="007B475E"/>
    <w:rsid w:val="007B4FB4"/>
    <w:rsid w:val="007C1A4C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544F7"/>
    <w:rsid w:val="008606FF"/>
    <w:rsid w:val="00867CB1"/>
    <w:rsid w:val="00872553"/>
    <w:rsid w:val="008752DD"/>
    <w:rsid w:val="0088133B"/>
    <w:rsid w:val="00891E37"/>
    <w:rsid w:val="00891FD6"/>
    <w:rsid w:val="00893409"/>
    <w:rsid w:val="00893B66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2425"/>
    <w:rsid w:val="008E7005"/>
    <w:rsid w:val="008F0D59"/>
    <w:rsid w:val="008F1F41"/>
    <w:rsid w:val="00912626"/>
    <w:rsid w:val="00920153"/>
    <w:rsid w:val="0094543C"/>
    <w:rsid w:val="00945B99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9E4CB2"/>
    <w:rsid w:val="009E756D"/>
    <w:rsid w:val="00A00FA1"/>
    <w:rsid w:val="00A1487C"/>
    <w:rsid w:val="00A156DD"/>
    <w:rsid w:val="00A20785"/>
    <w:rsid w:val="00A22209"/>
    <w:rsid w:val="00A455BC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29D5"/>
    <w:rsid w:val="00B26BD2"/>
    <w:rsid w:val="00B31B3C"/>
    <w:rsid w:val="00B47CC0"/>
    <w:rsid w:val="00B60138"/>
    <w:rsid w:val="00B668A7"/>
    <w:rsid w:val="00B83296"/>
    <w:rsid w:val="00B856A2"/>
    <w:rsid w:val="00B960E4"/>
    <w:rsid w:val="00BA15D7"/>
    <w:rsid w:val="00BA1D05"/>
    <w:rsid w:val="00BB3162"/>
    <w:rsid w:val="00BB4BFD"/>
    <w:rsid w:val="00BB6404"/>
    <w:rsid w:val="00BC0779"/>
    <w:rsid w:val="00BC1AA8"/>
    <w:rsid w:val="00BC2408"/>
    <w:rsid w:val="00BC3D9D"/>
    <w:rsid w:val="00BC7E07"/>
    <w:rsid w:val="00BD1A0F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37522"/>
    <w:rsid w:val="00C40FB0"/>
    <w:rsid w:val="00C41BF5"/>
    <w:rsid w:val="00C448C0"/>
    <w:rsid w:val="00C5187F"/>
    <w:rsid w:val="00C5204D"/>
    <w:rsid w:val="00C57D9A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12510"/>
    <w:rsid w:val="00D1710F"/>
    <w:rsid w:val="00D232DC"/>
    <w:rsid w:val="00D33C1D"/>
    <w:rsid w:val="00D3463D"/>
    <w:rsid w:val="00D42108"/>
    <w:rsid w:val="00D477C1"/>
    <w:rsid w:val="00D60FD5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F031B8"/>
    <w:rsid w:val="00F04687"/>
    <w:rsid w:val="00F1313D"/>
    <w:rsid w:val="00F133CE"/>
    <w:rsid w:val="00F17982"/>
    <w:rsid w:val="00F2709E"/>
    <w:rsid w:val="00F3116E"/>
    <w:rsid w:val="00F35F6F"/>
    <w:rsid w:val="00F363B6"/>
    <w:rsid w:val="00F410A3"/>
    <w:rsid w:val="00F60450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0A8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0C4BB58E-3ED2-425B-8133-72CE2CD4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hmu.sk/sk/?page=1&amp;id=kvalita_povrchovych_v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mu.sk/sk/?page=1&amp;id=kvalita_povrchovych_vod" TargetMode="Externa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EB83-2F3C-4F4B-B863-E7E2BA3B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15420</CharactersWithSpaces>
  <SharedDoc>false</SharedDoc>
  <HLinks>
    <vt:vector size="36" baseType="variant">
      <vt:variant>
        <vt:i4>196679</vt:i4>
      </vt:variant>
      <vt:variant>
        <vt:i4>15</vt:i4>
      </vt:variant>
      <vt:variant>
        <vt:i4>0</vt:i4>
      </vt:variant>
      <vt:variant>
        <vt:i4>5</vt:i4>
      </vt:variant>
      <vt:variant>
        <vt:lpwstr>http://www.shmu.sk/File/Hydrologia/Monitoring_PV_PzV/Monitoring_kvality_PV</vt:lpwstr>
      </vt:variant>
      <vt:variant>
        <vt:lpwstr/>
      </vt:variant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http://www.shmu.sk/File/Hydrologia/Monitoring_PV_PzV/Monitoring_kvality_PV</vt:lpwstr>
      </vt:variant>
      <vt:variant>
        <vt:lpwstr/>
      </vt:variant>
      <vt:variant>
        <vt:i4>196679</vt:i4>
      </vt:variant>
      <vt:variant>
        <vt:i4>9</vt:i4>
      </vt:variant>
      <vt:variant>
        <vt:i4>0</vt:i4>
      </vt:variant>
      <vt:variant>
        <vt:i4>5</vt:i4>
      </vt:variant>
      <vt:variant>
        <vt:lpwstr>http://www.shmu.sk/File/Hydrologia/Monitoring_PV_PzV/Monitoring_kvality_PV</vt:lpwstr>
      </vt:variant>
      <vt:variant>
        <vt:lpwstr/>
      </vt:variant>
      <vt:variant>
        <vt:i4>5177413</vt:i4>
      </vt:variant>
      <vt:variant>
        <vt:i4>6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http://www.shmu.sk/sk/?page=1&amp;id=kvalita_povrchovych_vod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cp:lastModifiedBy>Snopko</cp:lastModifiedBy>
  <cp:revision>2</cp:revision>
  <cp:lastPrinted>2023-01-24T08:47:00Z</cp:lastPrinted>
  <dcterms:created xsi:type="dcterms:W3CDTF">2025-06-17T06:44:00Z</dcterms:created>
  <dcterms:modified xsi:type="dcterms:W3CDTF">2025-06-17T06:44:00Z</dcterms:modified>
</cp:coreProperties>
</file>