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415DB8">
        <w:rPr>
          <w:b/>
          <w:sz w:val="28"/>
          <w:szCs w:val="28"/>
          <w:lang w:eastAsia="cs-CZ"/>
        </w:rPr>
        <w:t>4097</w:t>
      </w:r>
      <w:r w:rsidR="0067109F">
        <w:rPr>
          <w:b/>
          <w:sz w:val="28"/>
          <w:szCs w:val="28"/>
          <w:lang w:eastAsia="cs-CZ"/>
        </w:rPr>
        <w:t xml:space="preserve"> </w:t>
      </w:r>
      <w:r w:rsidR="00415DB8">
        <w:rPr>
          <w:b/>
          <w:sz w:val="28"/>
          <w:szCs w:val="28"/>
          <w:lang w:eastAsia="cs-CZ"/>
        </w:rPr>
        <w:t>L</w:t>
      </w:r>
      <w:r w:rsidR="00A94095">
        <w:rPr>
          <w:b/>
          <w:sz w:val="28"/>
          <w:szCs w:val="28"/>
          <w:lang w:eastAsia="cs-CZ"/>
        </w:rPr>
        <w:t>úky</w:t>
      </w:r>
      <w:r w:rsidR="00415DB8">
        <w:rPr>
          <w:b/>
          <w:sz w:val="28"/>
          <w:szCs w:val="28"/>
          <w:lang w:eastAsia="cs-CZ"/>
        </w:rPr>
        <w:t xml:space="preserve"> nad Hradiskom</w:t>
      </w:r>
      <w:r w:rsidR="00EC6AA4">
        <w:rPr>
          <w:b/>
          <w:sz w:val="28"/>
          <w:szCs w:val="28"/>
          <w:lang w:eastAsia="cs-CZ"/>
        </w:rPr>
        <w:t xml:space="preserve"> 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415DB8" w:rsidP="00C0468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53,91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6AA4" w:rsidRPr="007C76A6" w:rsidRDefault="00EC6AA4" w:rsidP="00EC6AA4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7C76A6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Acetosa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Acetosella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Agrimonia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eupatoria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Agrostis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capillaris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Achillea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millefolium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Alchemilla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sp.,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Antoxanthum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odoratum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Arrhenatherum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elatius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Briza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Campanula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patula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hirta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pallescens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tomentosa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Carlina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acaulis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Carum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carvi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holosteoides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Colchicum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autumnale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Colymbada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scabiosa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Crepis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biennis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Cruciata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glabra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Cynosurus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cristatus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Dactylis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glomerata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Daucus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carota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Deschampsia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cespitosa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Equisetum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arvense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rubra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rupicola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Filipendula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Fragaria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viridis,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mollugo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verum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maculatum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perforatum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phrygia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 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Knautia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Lathyrus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hispidus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autumnalis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Leucanthemum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Linum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catharticum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Lotus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corniculatus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Luzula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campestris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Lychnis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flos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cuculi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lupulina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Myosotis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Origanum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Pastinaca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sativa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Phleum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Pilosella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officinarum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major,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lanceolata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Polygala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argentea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erecta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reptans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acris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polyanthemos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Rhinanthus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Salvia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Securigera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varia, Silene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Stellaria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graminea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Taraxacum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officinale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Thymus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pulegioides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Tragopogon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Trisetum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flavescens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chamaedrys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cracca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sepium</w:t>
            </w:r>
            <w:proofErr w:type="spellEnd"/>
            <w:r w:rsidRPr="007C76A6">
              <w:rPr>
                <w:rFonts w:eastAsia="Times New Roman"/>
                <w:i/>
                <w:color w:val="000000"/>
                <w:sz w:val="20"/>
                <w:szCs w:val="20"/>
              </w:rPr>
              <w:t>.</w:t>
            </w:r>
          </w:p>
          <w:p w:rsidR="00EC6AA4" w:rsidRPr="007C76A6" w:rsidRDefault="00EC6AA4" w:rsidP="00EC6AA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C76A6">
              <w:rPr>
                <w:b/>
                <w:color w:val="000000"/>
                <w:sz w:val="18"/>
                <w:szCs w:val="18"/>
              </w:rPr>
              <w:t>Pozn.:</w:t>
            </w:r>
            <w:r w:rsidRPr="007C76A6">
              <w:rPr>
                <w:color w:val="000000"/>
                <w:sz w:val="18"/>
                <w:szCs w:val="18"/>
              </w:rPr>
              <w:t xml:space="preserve"> </w:t>
            </w:r>
            <w:r w:rsidRPr="007C76A6">
              <w:rPr>
                <w:i/>
                <w:color w:val="000000"/>
                <w:sz w:val="18"/>
                <w:szCs w:val="18"/>
              </w:rPr>
              <w:t>Hrubším typom písma sú vyznačené dominantné a diagnostické druhy biotopu</w:t>
            </w:r>
            <w:r w:rsidRPr="007C76A6">
              <w:rPr>
                <w:color w:val="000000"/>
                <w:sz w:val="20"/>
                <w:szCs w:val="20"/>
              </w:rPr>
              <w:t>.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sectPr w:rsidR="00D45B49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003D"/>
    <w:rsid w:val="00022BC0"/>
    <w:rsid w:val="00034C7D"/>
    <w:rsid w:val="000560C8"/>
    <w:rsid w:val="000759AC"/>
    <w:rsid w:val="000E05DA"/>
    <w:rsid w:val="000E4287"/>
    <w:rsid w:val="00140708"/>
    <w:rsid w:val="001560D3"/>
    <w:rsid w:val="00171BEC"/>
    <w:rsid w:val="00187945"/>
    <w:rsid w:val="001E6775"/>
    <w:rsid w:val="00203B08"/>
    <w:rsid w:val="0022535E"/>
    <w:rsid w:val="00240459"/>
    <w:rsid w:val="002B021B"/>
    <w:rsid w:val="002E60DF"/>
    <w:rsid w:val="003509FA"/>
    <w:rsid w:val="00382B18"/>
    <w:rsid w:val="003E7D17"/>
    <w:rsid w:val="003E7F90"/>
    <w:rsid w:val="00415DB8"/>
    <w:rsid w:val="00476AF7"/>
    <w:rsid w:val="004B5E26"/>
    <w:rsid w:val="004E77C4"/>
    <w:rsid w:val="004F7434"/>
    <w:rsid w:val="00526DB1"/>
    <w:rsid w:val="00562BB2"/>
    <w:rsid w:val="0057423C"/>
    <w:rsid w:val="00596DC2"/>
    <w:rsid w:val="005B68C6"/>
    <w:rsid w:val="005C00AB"/>
    <w:rsid w:val="0060488B"/>
    <w:rsid w:val="0067109F"/>
    <w:rsid w:val="006767B4"/>
    <w:rsid w:val="00687A45"/>
    <w:rsid w:val="006A695F"/>
    <w:rsid w:val="00713326"/>
    <w:rsid w:val="00723E95"/>
    <w:rsid w:val="007A62DC"/>
    <w:rsid w:val="007C76A6"/>
    <w:rsid w:val="008216F3"/>
    <w:rsid w:val="008757A2"/>
    <w:rsid w:val="008C230F"/>
    <w:rsid w:val="008D7440"/>
    <w:rsid w:val="008F25B3"/>
    <w:rsid w:val="00936410"/>
    <w:rsid w:val="00945098"/>
    <w:rsid w:val="009667BE"/>
    <w:rsid w:val="00993930"/>
    <w:rsid w:val="00A168B4"/>
    <w:rsid w:val="00A43B93"/>
    <w:rsid w:val="00A4711A"/>
    <w:rsid w:val="00A5789F"/>
    <w:rsid w:val="00A71A8A"/>
    <w:rsid w:val="00A81817"/>
    <w:rsid w:val="00A94095"/>
    <w:rsid w:val="00AA6F82"/>
    <w:rsid w:val="00AB2A2D"/>
    <w:rsid w:val="00AD79AD"/>
    <w:rsid w:val="00B31A88"/>
    <w:rsid w:val="00B62826"/>
    <w:rsid w:val="00BA37A0"/>
    <w:rsid w:val="00BF1520"/>
    <w:rsid w:val="00C04683"/>
    <w:rsid w:val="00C25107"/>
    <w:rsid w:val="00C65C57"/>
    <w:rsid w:val="00C8239E"/>
    <w:rsid w:val="00C9571F"/>
    <w:rsid w:val="00CA60BD"/>
    <w:rsid w:val="00CE0A83"/>
    <w:rsid w:val="00CF456D"/>
    <w:rsid w:val="00D33C51"/>
    <w:rsid w:val="00D45B49"/>
    <w:rsid w:val="00D76319"/>
    <w:rsid w:val="00D77700"/>
    <w:rsid w:val="00DA19FF"/>
    <w:rsid w:val="00E00245"/>
    <w:rsid w:val="00E054A3"/>
    <w:rsid w:val="00E64259"/>
    <w:rsid w:val="00EC67A6"/>
    <w:rsid w:val="00EC6AA4"/>
    <w:rsid w:val="00EE1D73"/>
    <w:rsid w:val="00F0318A"/>
    <w:rsid w:val="00F436A8"/>
    <w:rsid w:val="00F97F55"/>
    <w:rsid w:val="00FB476B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2A1C3E8B-D5F5-46BF-91FE-FE562D02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2025-06-17T08:33:00Z</dcterms:created>
  <dcterms:modified xsi:type="dcterms:W3CDTF">2025-06-17T08:33:00Z</dcterms:modified>
</cp:coreProperties>
</file>